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39BE" w14:textId="77777777" w:rsidR="00540A11" w:rsidRDefault="004975D3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ACTIVIDAD CURRICULAR</w:t>
      </w:r>
    </w:p>
    <w:p w14:paraId="4295180C" w14:textId="77777777" w:rsidR="00366C76" w:rsidRDefault="00366C76" w:rsidP="00EB2A61">
      <w:pPr>
        <w:spacing w:after="0" w:line="276" w:lineRule="auto"/>
        <w:rPr>
          <w:b/>
          <w:sz w:val="16"/>
          <w:szCs w:val="16"/>
        </w:rPr>
      </w:pPr>
    </w:p>
    <w:p w14:paraId="6CC85F05" w14:textId="77777777" w:rsidR="00540A11" w:rsidRDefault="00497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Identificación de la actividad curricular</w:t>
      </w:r>
    </w:p>
    <w:tbl>
      <w:tblPr>
        <w:tblStyle w:val="a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9"/>
        <w:gridCol w:w="2205"/>
        <w:gridCol w:w="1834"/>
        <w:gridCol w:w="2992"/>
      </w:tblGrid>
      <w:tr w:rsidR="00540A11" w14:paraId="5163CE64" w14:textId="77777777" w:rsidTr="00F66079">
        <w:tc>
          <w:tcPr>
            <w:tcW w:w="2589" w:type="dxa"/>
            <w:shd w:val="clear" w:color="auto" w:fill="DEEBF6"/>
          </w:tcPr>
          <w:p w14:paraId="5DF23AC6" w14:textId="77777777" w:rsidR="00540A11" w:rsidRDefault="0049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Programa</w:t>
            </w:r>
          </w:p>
        </w:tc>
        <w:tc>
          <w:tcPr>
            <w:tcW w:w="2205" w:type="dxa"/>
          </w:tcPr>
          <w:p w14:paraId="30C5B6CA" w14:textId="77777777" w:rsidR="00540A11" w:rsidRPr="0011411F" w:rsidRDefault="004975D3">
            <w:pPr>
              <w:spacing w:line="276" w:lineRule="auto"/>
              <w:rPr>
                <w:sz w:val="22"/>
                <w:szCs w:val="22"/>
              </w:rPr>
            </w:pPr>
            <w:r w:rsidRPr="0011411F">
              <w:rPr>
                <w:sz w:val="22"/>
                <w:szCs w:val="22"/>
              </w:rPr>
              <w:t>Doctorado en Comunicación</w:t>
            </w:r>
          </w:p>
        </w:tc>
        <w:tc>
          <w:tcPr>
            <w:tcW w:w="1834" w:type="dxa"/>
            <w:shd w:val="clear" w:color="auto" w:fill="DEEBF6"/>
          </w:tcPr>
          <w:p w14:paraId="2C023CB3" w14:textId="77777777" w:rsidR="00540A11" w:rsidRDefault="0049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Duración (semanas)</w:t>
            </w:r>
          </w:p>
        </w:tc>
        <w:tc>
          <w:tcPr>
            <w:tcW w:w="2992" w:type="dxa"/>
            <w:vAlign w:val="center"/>
          </w:tcPr>
          <w:p w14:paraId="6CDF6648" w14:textId="77777777" w:rsidR="00540A11" w:rsidRPr="0011411F" w:rsidRDefault="004975D3" w:rsidP="00F66079">
            <w:pPr>
              <w:spacing w:line="276" w:lineRule="auto"/>
              <w:rPr>
                <w:sz w:val="22"/>
                <w:szCs w:val="22"/>
              </w:rPr>
            </w:pPr>
            <w:r w:rsidRPr="0011411F">
              <w:rPr>
                <w:sz w:val="22"/>
                <w:szCs w:val="22"/>
              </w:rPr>
              <w:t>4 semanas</w:t>
            </w:r>
          </w:p>
        </w:tc>
      </w:tr>
      <w:tr w:rsidR="00540A11" w14:paraId="46FBAA46" w14:textId="77777777" w:rsidTr="00F66079">
        <w:tc>
          <w:tcPr>
            <w:tcW w:w="2589" w:type="dxa"/>
            <w:shd w:val="clear" w:color="auto" w:fill="DEEBF6"/>
          </w:tcPr>
          <w:p w14:paraId="7CF1C471" w14:textId="77777777" w:rsidR="00540A11" w:rsidRDefault="0049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actividad curricular</w:t>
            </w:r>
          </w:p>
        </w:tc>
        <w:tc>
          <w:tcPr>
            <w:tcW w:w="2205" w:type="dxa"/>
          </w:tcPr>
          <w:p w14:paraId="7AD6E67F" w14:textId="77777777" w:rsidR="00540A11" w:rsidRDefault="009B6FF9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411F">
              <w:rPr>
                <w:color w:val="000000"/>
                <w:sz w:val="22"/>
                <w:szCs w:val="22"/>
                <w:shd w:val="clear" w:color="auto" w:fill="FFFFFF"/>
              </w:rPr>
              <w:t>Etnografía para el estudio de espacios discursivos y actuaciones intersubjetivas</w:t>
            </w:r>
          </w:p>
          <w:p w14:paraId="620A1564" w14:textId="2DB5E81A" w:rsidR="00E85349" w:rsidRPr="00E85349" w:rsidRDefault="00E85349">
            <w:pPr>
              <w:spacing w:line="276" w:lineRule="auto"/>
              <w:rPr>
                <w:sz w:val="22"/>
                <w:szCs w:val="22"/>
                <w:lang w:val="es-CL"/>
              </w:rPr>
            </w:pPr>
            <w:r w:rsidRPr="00E85349">
              <w:rPr>
                <w:b/>
                <w:bCs/>
                <w:sz w:val="22"/>
                <w:szCs w:val="22"/>
                <w:lang w:val="es-CL"/>
              </w:rPr>
              <w:t>DEC115</w:t>
            </w:r>
          </w:p>
        </w:tc>
        <w:tc>
          <w:tcPr>
            <w:tcW w:w="1834" w:type="dxa"/>
            <w:shd w:val="clear" w:color="auto" w:fill="DEEBF6"/>
          </w:tcPr>
          <w:p w14:paraId="37E37E5C" w14:textId="77777777" w:rsidR="00540A11" w:rsidRPr="00C54225" w:rsidRDefault="004975D3">
            <w:pPr>
              <w:spacing w:line="276" w:lineRule="auto"/>
              <w:rPr>
                <w:sz w:val="24"/>
                <w:szCs w:val="24"/>
              </w:rPr>
            </w:pPr>
            <w:r w:rsidRPr="00C54225">
              <w:rPr>
                <w:sz w:val="24"/>
                <w:szCs w:val="24"/>
              </w:rPr>
              <w:t>Horas totales y semanales</w:t>
            </w:r>
          </w:p>
        </w:tc>
        <w:tc>
          <w:tcPr>
            <w:tcW w:w="2992" w:type="dxa"/>
            <w:vAlign w:val="center"/>
          </w:tcPr>
          <w:p w14:paraId="2D7371E1" w14:textId="77777777" w:rsidR="00540A11" w:rsidRPr="0011411F" w:rsidRDefault="004975D3" w:rsidP="00F66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  <w:r w:rsidRPr="0011411F">
              <w:rPr>
                <w:color w:val="000000"/>
                <w:sz w:val="22"/>
                <w:szCs w:val="22"/>
              </w:rPr>
              <w:t>Intra-aula teórica semanal: 6</w:t>
            </w:r>
          </w:p>
          <w:p w14:paraId="40E49224" w14:textId="77777777" w:rsidR="00540A11" w:rsidRPr="0011411F" w:rsidRDefault="004975D3" w:rsidP="00F66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  <w:r w:rsidRPr="0011411F">
              <w:rPr>
                <w:color w:val="000000"/>
                <w:sz w:val="22"/>
                <w:szCs w:val="22"/>
              </w:rPr>
              <w:t>Intra-aula práctica semanal: 4</w:t>
            </w:r>
          </w:p>
          <w:p w14:paraId="1BC73AE8" w14:textId="77777777" w:rsidR="00540A11" w:rsidRPr="0011411F" w:rsidRDefault="004975D3" w:rsidP="00F66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  <w:r w:rsidRPr="0011411F">
              <w:rPr>
                <w:color w:val="000000"/>
                <w:sz w:val="22"/>
                <w:szCs w:val="22"/>
              </w:rPr>
              <w:t>Extra-aula semanal: 30</w:t>
            </w:r>
          </w:p>
          <w:p w14:paraId="452BA93A" w14:textId="77777777" w:rsidR="00540A11" w:rsidRPr="0011411F" w:rsidRDefault="004975D3" w:rsidP="00F66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  <w:r w:rsidRPr="0011411F">
              <w:rPr>
                <w:color w:val="000000"/>
                <w:sz w:val="22"/>
                <w:szCs w:val="22"/>
              </w:rPr>
              <w:t>Intra-aula total: 40</w:t>
            </w:r>
          </w:p>
          <w:p w14:paraId="3707F2D5" w14:textId="77777777" w:rsidR="00540A11" w:rsidRPr="0011411F" w:rsidRDefault="004975D3" w:rsidP="00F66079">
            <w:pPr>
              <w:spacing w:line="276" w:lineRule="auto"/>
              <w:rPr>
                <w:sz w:val="22"/>
                <w:szCs w:val="22"/>
              </w:rPr>
            </w:pPr>
            <w:r w:rsidRPr="0011411F">
              <w:rPr>
                <w:sz w:val="22"/>
                <w:szCs w:val="22"/>
              </w:rPr>
              <w:t>Extra-aula total: 120</w:t>
            </w:r>
          </w:p>
        </w:tc>
      </w:tr>
      <w:tr w:rsidR="00540A11" w14:paraId="0EBD0C07" w14:textId="77777777" w:rsidTr="00F66079">
        <w:tc>
          <w:tcPr>
            <w:tcW w:w="2589" w:type="dxa"/>
            <w:shd w:val="clear" w:color="auto" w:fill="DEEBF6"/>
          </w:tcPr>
          <w:p w14:paraId="3FC0118D" w14:textId="77777777" w:rsidR="00540A11" w:rsidRDefault="0049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Formación</w:t>
            </w:r>
          </w:p>
        </w:tc>
        <w:tc>
          <w:tcPr>
            <w:tcW w:w="2205" w:type="dxa"/>
          </w:tcPr>
          <w:p w14:paraId="466E2B0F" w14:textId="77777777" w:rsidR="00540A11" w:rsidRPr="0011411F" w:rsidRDefault="004975D3">
            <w:pPr>
              <w:spacing w:line="276" w:lineRule="auto"/>
              <w:rPr>
                <w:sz w:val="22"/>
                <w:szCs w:val="22"/>
              </w:rPr>
            </w:pPr>
            <w:r w:rsidRPr="0011411F">
              <w:rPr>
                <w:sz w:val="22"/>
                <w:szCs w:val="22"/>
              </w:rPr>
              <w:t>Electiva</w:t>
            </w:r>
          </w:p>
        </w:tc>
        <w:tc>
          <w:tcPr>
            <w:tcW w:w="1834" w:type="dxa"/>
            <w:shd w:val="clear" w:color="auto" w:fill="DEEBF6"/>
          </w:tcPr>
          <w:p w14:paraId="0B76BA51" w14:textId="77777777" w:rsidR="00540A11" w:rsidRPr="00C54225" w:rsidRDefault="004975D3">
            <w:pPr>
              <w:spacing w:line="276" w:lineRule="auto"/>
              <w:rPr>
                <w:sz w:val="24"/>
                <w:szCs w:val="24"/>
              </w:rPr>
            </w:pPr>
            <w:r w:rsidRPr="00C54225">
              <w:rPr>
                <w:sz w:val="24"/>
                <w:szCs w:val="24"/>
              </w:rPr>
              <w:t>SCT</w:t>
            </w:r>
          </w:p>
        </w:tc>
        <w:tc>
          <w:tcPr>
            <w:tcW w:w="2992" w:type="dxa"/>
            <w:vAlign w:val="center"/>
          </w:tcPr>
          <w:p w14:paraId="64D65D10" w14:textId="77777777" w:rsidR="00540A11" w:rsidRPr="0011411F" w:rsidRDefault="004975D3" w:rsidP="00F66079">
            <w:pPr>
              <w:spacing w:line="276" w:lineRule="auto"/>
              <w:rPr>
                <w:sz w:val="22"/>
                <w:szCs w:val="22"/>
              </w:rPr>
            </w:pPr>
            <w:r w:rsidRPr="0011411F">
              <w:rPr>
                <w:sz w:val="22"/>
                <w:szCs w:val="22"/>
              </w:rPr>
              <w:t>6</w:t>
            </w:r>
          </w:p>
        </w:tc>
      </w:tr>
      <w:tr w:rsidR="00540A11" w14:paraId="57335E66" w14:textId="77777777" w:rsidTr="00F66079">
        <w:tc>
          <w:tcPr>
            <w:tcW w:w="2589" w:type="dxa"/>
            <w:shd w:val="clear" w:color="auto" w:fill="DEEBF6"/>
          </w:tcPr>
          <w:p w14:paraId="05831A86" w14:textId="77777777" w:rsidR="00540A11" w:rsidRDefault="0049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Carácter</w:t>
            </w:r>
          </w:p>
        </w:tc>
        <w:tc>
          <w:tcPr>
            <w:tcW w:w="2205" w:type="dxa"/>
          </w:tcPr>
          <w:p w14:paraId="119D4014" w14:textId="77777777" w:rsidR="00540A11" w:rsidRPr="0011411F" w:rsidRDefault="004975D3">
            <w:pPr>
              <w:spacing w:line="276" w:lineRule="auto"/>
              <w:rPr>
                <w:sz w:val="22"/>
                <w:szCs w:val="22"/>
              </w:rPr>
            </w:pPr>
            <w:r w:rsidRPr="0011411F">
              <w:rPr>
                <w:sz w:val="22"/>
                <w:szCs w:val="22"/>
              </w:rPr>
              <w:t>Práctico</w:t>
            </w:r>
          </w:p>
        </w:tc>
        <w:tc>
          <w:tcPr>
            <w:tcW w:w="1834" w:type="dxa"/>
            <w:shd w:val="clear" w:color="auto" w:fill="DEEBF6"/>
          </w:tcPr>
          <w:p w14:paraId="58AFF7FC" w14:textId="77777777" w:rsidR="00540A11" w:rsidRPr="00C54225" w:rsidRDefault="004975D3">
            <w:pPr>
              <w:spacing w:line="276" w:lineRule="auto"/>
              <w:rPr>
                <w:sz w:val="24"/>
                <w:szCs w:val="24"/>
              </w:rPr>
            </w:pPr>
            <w:r w:rsidRPr="00C54225">
              <w:rPr>
                <w:sz w:val="24"/>
                <w:szCs w:val="24"/>
              </w:rPr>
              <w:t>Requisitos</w:t>
            </w:r>
          </w:p>
        </w:tc>
        <w:tc>
          <w:tcPr>
            <w:tcW w:w="2992" w:type="dxa"/>
            <w:vAlign w:val="center"/>
          </w:tcPr>
          <w:p w14:paraId="71C96BA4" w14:textId="77777777" w:rsidR="00540A11" w:rsidRPr="0011411F" w:rsidRDefault="004975D3" w:rsidP="00F66079">
            <w:pPr>
              <w:spacing w:line="276" w:lineRule="auto"/>
              <w:rPr>
                <w:sz w:val="22"/>
                <w:szCs w:val="22"/>
              </w:rPr>
            </w:pPr>
            <w:r w:rsidRPr="0011411F">
              <w:rPr>
                <w:sz w:val="22"/>
                <w:szCs w:val="22"/>
              </w:rPr>
              <w:t xml:space="preserve">No </w:t>
            </w:r>
          </w:p>
        </w:tc>
      </w:tr>
      <w:tr w:rsidR="00540A11" w14:paraId="4631D8FA" w14:textId="77777777" w:rsidTr="00F66079">
        <w:tc>
          <w:tcPr>
            <w:tcW w:w="2589" w:type="dxa"/>
            <w:shd w:val="clear" w:color="auto" w:fill="DEEBF6"/>
          </w:tcPr>
          <w:p w14:paraId="68B95794" w14:textId="77777777" w:rsidR="00540A11" w:rsidRDefault="0049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académico</w:t>
            </w:r>
          </w:p>
        </w:tc>
        <w:tc>
          <w:tcPr>
            <w:tcW w:w="2205" w:type="dxa"/>
          </w:tcPr>
          <w:p w14:paraId="2961B184" w14:textId="77777777" w:rsidR="00540A11" w:rsidRPr="0011411F" w:rsidRDefault="009B6FF9">
            <w:pPr>
              <w:spacing w:line="276" w:lineRule="auto"/>
              <w:rPr>
                <w:sz w:val="22"/>
                <w:szCs w:val="22"/>
              </w:rPr>
            </w:pPr>
            <w:r w:rsidRPr="0011411F">
              <w:rPr>
                <w:sz w:val="22"/>
                <w:szCs w:val="22"/>
              </w:rPr>
              <w:t>2020</w:t>
            </w:r>
          </w:p>
        </w:tc>
        <w:tc>
          <w:tcPr>
            <w:tcW w:w="1834" w:type="dxa"/>
            <w:shd w:val="clear" w:color="auto" w:fill="DEEBF6"/>
          </w:tcPr>
          <w:p w14:paraId="23E3EC3F" w14:textId="77777777" w:rsidR="00540A11" w:rsidRPr="00C54225" w:rsidRDefault="004975D3">
            <w:pPr>
              <w:spacing w:line="276" w:lineRule="auto"/>
              <w:rPr>
                <w:sz w:val="24"/>
                <w:szCs w:val="24"/>
              </w:rPr>
            </w:pPr>
            <w:r w:rsidRPr="00C54225">
              <w:rPr>
                <w:sz w:val="24"/>
                <w:szCs w:val="24"/>
              </w:rPr>
              <w:t>Semestre</w:t>
            </w:r>
          </w:p>
        </w:tc>
        <w:tc>
          <w:tcPr>
            <w:tcW w:w="2992" w:type="dxa"/>
            <w:vAlign w:val="center"/>
          </w:tcPr>
          <w:p w14:paraId="79EAF7D0" w14:textId="77777777" w:rsidR="00540A11" w:rsidRPr="0011411F" w:rsidRDefault="004975D3" w:rsidP="00F66079">
            <w:pPr>
              <w:spacing w:line="276" w:lineRule="auto"/>
              <w:rPr>
                <w:sz w:val="22"/>
                <w:szCs w:val="22"/>
              </w:rPr>
            </w:pPr>
            <w:r w:rsidRPr="0011411F">
              <w:rPr>
                <w:sz w:val="22"/>
                <w:szCs w:val="22"/>
              </w:rPr>
              <w:t xml:space="preserve">Ambos </w:t>
            </w:r>
          </w:p>
        </w:tc>
      </w:tr>
      <w:tr w:rsidR="00832361" w14:paraId="1B188531" w14:textId="77777777" w:rsidTr="00F66079">
        <w:tc>
          <w:tcPr>
            <w:tcW w:w="2589" w:type="dxa"/>
            <w:shd w:val="clear" w:color="auto" w:fill="DEEBF6"/>
          </w:tcPr>
          <w:p w14:paraId="015DD6C0" w14:textId="77777777" w:rsidR="00832361" w:rsidRDefault="00832361" w:rsidP="00832361">
            <w:pPr>
              <w:tabs>
                <w:tab w:val="left" w:pos="15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205" w:type="dxa"/>
          </w:tcPr>
          <w:p w14:paraId="080434C2" w14:textId="77777777" w:rsidR="00832361" w:rsidRPr="0011411F" w:rsidRDefault="00832361" w:rsidP="00832361">
            <w:pPr>
              <w:spacing w:line="276" w:lineRule="auto"/>
              <w:rPr>
                <w:sz w:val="22"/>
                <w:szCs w:val="22"/>
              </w:rPr>
            </w:pPr>
            <w:r w:rsidRPr="0011411F">
              <w:rPr>
                <w:sz w:val="22"/>
                <w:szCs w:val="22"/>
              </w:rPr>
              <w:t xml:space="preserve">Dr. </w:t>
            </w:r>
            <w:proofErr w:type="spellStart"/>
            <w:r w:rsidRPr="0011411F">
              <w:rPr>
                <w:sz w:val="22"/>
                <w:szCs w:val="22"/>
              </w:rPr>
              <w:t>Jerjes</w:t>
            </w:r>
            <w:proofErr w:type="spellEnd"/>
            <w:r w:rsidRPr="0011411F">
              <w:rPr>
                <w:sz w:val="22"/>
                <w:szCs w:val="22"/>
              </w:rPr>
              <w:t xml:space="preserve"> Loayza Javier. Universidad Nacional Mayor San Marcos, Perú.</w:t>
            </w:r>
          </w:p>
        </w:tc>
        <w:tc>
          <w:tcPr>
            <w:tcW w:w="1834" w:type="dxa"/>
            <w:shd w:val="clear" w:color="auto" w:fill="DEEBF6"/>
          </w:tcPr>
          <w:p w14:paraId="2468A203" w14:textId="77777777" w:rsidR="00832361" w:rsidRPr="00C54225" w:rsidRDefault="00832361" w:rsidP="00832361">
            <w:pPr>
              <w:spacing w:line="276" w:lineRule="auto"/>
              <w:rPr>
                <w:sz w:val="24"/>
                <w:szCs w:val="24"/>
              </w:rPr>
            </w:pPr>
            <w:r w:rsidRPr="00C54225">
              <w:rPr>
                <w:sz w:val="24"/>
                <w:szCs w:val="24"/>
              </w:rPr>
              <w:t>Plataformas en Uso</w:t>
            </w:r>
          </w:p>
        </w:tc>
        <w:tc>
          <w:tcPr>
            <w:tcW w:w="2992" w:type="dxa"/>
            <w:vAlign w:val="center"/>
          </w:tcPr>
          <w:p w14:paraId="5D1C2085" w14:textId="77777777" w:rsidR="00832361" w:rsidRPr="0011411F" w:rsidRDefault="00832361" w:rsidP="00F6607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6BA7621" w14:textId="77777777" w:rsidR="00540A11" w:rsidRDefault="00540A11">
      <w:pPr>
        <w:spacing w:after="0" w:line="360" w:lineRule="auto"/>
        <w:ind w:left="360"/>
        <w:rPr>
          <w:b/>
          <w:sz w:val="16"/>
          <w:szCs w:val="16"/>
        </w:rPr>
      </w:pPr>
    </w:p>
    <w:p w14:paraId="0A5294DA" w14:textId="77777777" w:rsidR="00540A11" w:rsidRDefault="00497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Perfil del/la graduado/a</w:t>
      </w:r>
    </w:p>
    <w:tbl>
      <w:tblPr>
        <w:tblStyle w:val="a0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0"/>
      </w:tblGrid>
      <w:tr w:rsidR="00540A11" w14:paraId="344596F1" w14:textId="77777777">
        <w:tc>
          <w:tcPr>
            <w:tcW w:w="9620" w:type="dxa"/>
          </w:tcPr>
          <w:p w14:paraId="1D251FE7" w14:textId="77777777" w:rsidR="00540A11" w:rsidRDefault="004975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Doctor en Comunicación formado en las Universidades de La Frontera y la Universidad Austral de Chile es un postgraduado con </w:t>
            </w:r>
            <w:r>
              <w:rPr>
                <w:sz w:val="24"/>
                <w:szCs w:val="24"/>
                <w:u w:val="single"/>
              </w:rPr>
              <w:t>capacidades para desempeñarse en</w:t>
            </w:r>
            <w:r>
              <w:rPr>
                <w:sz w:val="24"/>
                <w:szCs w:val="24"/>
              </w:rPr>
              <w:t xml:space="preserve"> (1) la investigación autónoma en el campo de la comunicación, y (2) la difusión del conocimiento del área a públicos académicos. Su formación es desde una perspectiva crítica de la industria cultural y sus mediaciones, a través de enfoques, teorías y análisis interdisciplinarios para desarrollar estudios sobre los procesos de comunicación. Su </w:t>
            </w:r>
            <w:r>
              <w:rPr>
                <w:sz w:val="24"/>
                <w:szCs w:val="24"/>
                <w:u w:val="single"/>
              </w:rPr>
              <w:t>formación lo habilita</w:t>
            </w:r>
            <w:r>
              <w:rPr>
                <w:sz w:val="24"/>
                <w:szCs w:val="24"/>
              </w:rPr>
              <w:t xml:space="preserve"> para (1.1.) Identificar nuevos problemas en contextos interculturales, conocidos y emergentes, con diferentes técnicas teórico-metodológicas; (1.2.) Desarrollar investigación en el campo de la comunicación, con herramientas teórico-metodológicas desde una perspectiva interdisciplinaria para contribuir a la comprensión de las problemáticas asociadas a los distintos contextos interculturales; (2.1.) Preparar artículos científicos para su publicación en revistas indexadas del área, en base a la discusión teórica, análisis preliminar de distintos corpus y resultados de investigación propia, y (2.2.) Producir textos científicos para la exposición de resultados de investigación a públicos académicos. Tiene </w:t>
            </w:r>
            <w:r>
              <w:rPr>
                <w:sz w:val="24"/>
                <w:szCs w:val="24"/>
                <w:u w:val="single"/>
              </w:rPr>
              <w:t>capacidad para</w:t>
            </w:r>
            <w:r>
              <w:rPr>
                <w:sz w:val="24"/>
                <w:szCs w:val="24"/>
              </w:rPr>
              <w:t xml:space="preserve"> comunicarse de manera </w:t>
            </w:r>
            <w:r>
              <w:rPr>
                <w:sz w:val="24"/>
                <w:szCs w:val="24"/>
              </w:rPr>
              <w:lastRenderedPageBreak/>
              <w:t xml:space="preserve">efectiva con diversos públicos y analizar problemáticas desde un pensamiento crítico. El Doctor en Comunicación postgraduado de las Universidades de La Frontera y la Universidad Austral de Chile </w:t>
            </w:r>
            <w:r>
              <w:rPr>
                <w:sz w:val="24"/>
                <w:szCs w:val="24"/>
                <w:u w:val="single"/>
              </w:rPr>
              <w:t>podrá desempeñarse</w:t>
            </w:r>
            <w:r>
              <w:rPr>
                <w:sz w:val="24"/>
                <w:szCs w:val="24"/>
              </w:rPr>
              <w:t xml:space="preserve"> en Centros e Institutos de investigación, instituciones de educación superior, públicas o privadas.</w:t>
            </w:r>
          </w:p>
        </w:tc>
      </w:tr>
    </w:tbl>
    <w:p w14:paraId="6CBC73F7" w14:textId="77777777" w:rsidR="009D7358" w:rsidRDefault="009D7358" w:rsidP="009D73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b/>
          <w:color w:val="000000"/>
          <w:sz w:val="24"/>
          <w:szCs w:val="24"/>
        </w:rPr>
      </w:pPr>
    </w:p>
    <w:p w14:paraId="14B9B176" w14:textId="77777777" w:rsidR="00540A11" w:rsidRDefault="00497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Descripción de la actividad curricular</w:t>
      </w:r>
    </w:p>
    <w:tbl>
      <w:tblPr>
        <w:tblStyle w:val="a1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0"/>
      </w:tblGrid>
      <w:tr w:rsidR="00540A11" w14:paraId="64569292" w14:textId="77777777">
        <w:tc>
          <w:tcPr>
            <w:tcW w:w="9620" w:type="dxa"/>
          </w:tcPr>
          <w:p w14:paraId="32D9B08B" w14:textId="77777777" w:rsidR="00540A11" w:rsidRPr="009D7358" w:rsidRDefault="004975D3">
            <w:pPr>
              <w:spacing w:line="276" w:lineRule="auto"/>
              <w:jc w:val="both"/>
              <w:rPr>
                <w:sz w:val="24"/>
                <w:szCs w:val="24"/>
                <w:highlight w:val="cyan"/>
              </w:rPr>
            </w:pPr>
            <w:r w:rsidRPr="00C54225">
              <w:rPr>
                <w:sz w:val="24"/>
                <w:szCs w:val="24"/>
              </w:rPr>
              <w:t>La asignatura entrega elementos t</w:t>
            </w:r>
            <w:r w:rsidR="00C54225" w:rsidRPr="00C54225">
              <w:rPr>
                <w:sz w:val="24"/>
                <w:szCs w:val="24"/>
              </w:rPr>
              <w:t>eórico-metodológicos y técnicos en torno a la etnografía como espacio discursivo y acciones intersubjetivas. El primer aspecto</w:t>
            </w:r>
            <w:r w:rsidR="00C54225">
              <w:rPr>
                <w:sz w:val="24"/>
                <w:szCs w:val="24"/>
              </w:rPr>
              <w:t xml:space="preserve"> estudia el </w:t>
            </w:r>
            <w:r w:rsidR="00C54225" w:rsidRPr="007A4E30">
              <w:rPr>
                <w:b/>
                <w:sz w:val="24"/>
                <w:szCs w:val="24"/>
              </w:rPr>
              <w:t>discurso estructurado y grupalmente legitimado en determinados entornos cotidianos</w:t>
            </w:r>
            <w:r w:rsidR="00C54225">
              <w:rPr>
                <w:sz w:val="24"/>
                <w:szCs w:val="24"/>
              </w:rPr>
              <w:t>; el segundo aspecto, que complementa el anterior, entiende la intersubjetividad como un campo de acción perteneciente al cuerpo y a la emoción, siendo necesario comprenderla desde sus motivaciones menos racionales y más conectadas desde una mirada simbólica. Los estudiantes deberán partir de este espectro teórico y empírico para el estudio de realidades micro sociales de interés múltiple y diverso.</w:t>
            </w:r>
            <w:r w:rsidR="00EB2A61">
              <w:rPr>
                <w:sz w:val="24"/>
                <w:szCs w:val="24"/>
              </w:rPr>
              <w:t xml:space="preserve"> Como aspecto final del curso se desarrollará una exposición de los pasos y técnicas a establecer para el recojo de información etnográfica en dos momentos de suma importancia: al momento de observar y participar; y al momento de definir y categorizar hallazgos.</w:t>
            </w:r>
          </w:p>
        </w:tc>
      </w:tr>
    </w:tbl>
    <w:p w14:paraId="6841CF37" w14:textId="77777777" w:rsidR="00540A11" w:rsidRDefault="00540A11">
      <w:pPr>
        <w:spacing w:after="0" w:line="360" w:lineRule="auto"/>
        <w:ind w:left="360"/>
        <w:rPr>
          <w:b/>
          <w:sz w:val="24"/>
          <w:szCs w:val="24"/>
        </w:rPr>
      </w:pPr>
    </w:p>
    <w:p w14:paraId="3FB76B90" w14:textId="77777777" w:rsidR="00540A11" w:rsidRDefault="00497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orientado al desarrollo de las siguientes competencias</w:t>
      </w:r>
    </w:p>
    <w:tbl>
      <w:tblPr>
        <w:tblStyle w:val="a2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0"/>
        <w:gridCol w:w="4810"/>
      </w:tblGrid>
      <w:tr w:rsidR="00540A11" w14:paraId="6B90AA75" w14:textId="77777777">
        <w:tc>
          <w:tcPr>
            <w:tcW w:w="4810" w:type="dxa"/>
            <w:shd w:val="clear" w:color="auto" w:fill="DEEBF6"/>
          </w:tcPr>
          <w:p w14:paraId="7AA65371" w14:textId="77777777" w:rsidR="00540A11" w:rsidRDefault="004975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Genéricas</w:t>
            </w:r>
          </w:p>
        </w:tc>
        <w:tc>
          <w:tcPr>
            <w:tcW w:w="4810" w:type="dxa"/>
            <w:shd w:val="clear" w:color="auto" w:fill="DEEBF6"/>
          </w:tcPr>
          <w:p w14:paraId="59DC17FA" w14:textId="77777777" w:rsidR="00540A11" w:rsidRDefault="004975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especialidad o disciplinares</w:t>
            </w:r>
          </w:p>
        </w:tc>
      </w:tr>
      <w:tr w:rsidR="00540A11" w14:paraId="29A85A66" w14:textId="77777777">
        <w:tc>
          <w:tcPr>
            <w:tcW w:w="4810" w:type="dxa"/>
          </w:tcPr>
          <w:p w14:paraId="27E84623" w14:textId="77777777" w:rsidR="00540A11" w:rsidRDefault="004975D3" w:rsidP="0083236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u w:val="single"/>
              </w:rPr>
              <w:t>Pensamiento Crítico</w:t>
            </w:r>
            <w:r>
              <w:rPr>
                <w:sz w:val="24"/>
                <w:szCs w:val="24"/>
              </w:rPr>
              <w:t>: habilidad para evaluar o analizar la realidad y los argumentos sobre ella, tanto propios como ajenos.</w:t>
            </w:r>
          </w:p>
        </w:tc>
        <w:tc>
          <w:tcPr>
            <w:tcW w:w="4810" w:type="dxa"/>
          </w:tcPr>
          <w:p w14:paraId="14D77B78" w14:textId="77777777" w:rsidR="00540A11" w:rsidRDefault="004975D3" w:rsidP="0083236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1.1.) Identificar nuevos problemas de la comunicación en contextos interculturales conocidos y emergentes con diferentes técnicas teórico-metodológicas.</w:t>
            </w:r>
          </w:p>
        </w:tc>
      </w:tr>
    </w:tbl>
    <w:p w14:paraId="3AA0D08C" w14:textId="77777777" w:rsidR="00540A11" w:rsidRDefault="00540A1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rPr>
          <w:b/>
          <w:color w:val="000000"/>
          <w:sz w:val="24"/>
          <w:szCs w:val="24"/>
        </w:rPr>
      </w:pPr>
    </w:p>
    <w:p w14:paraId="466D6E5D" w14:textId="77777777" w:rsidR="00540A11" w:rsidRDefault="00497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Resultados de aprendizaje</w:t>
      </w:r>
    </w:p>
    <w:tbl>
      <w:tblPr>
        <w:tblStyle w:val="a3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0"/>
      </w:tblGrid>
      <w:tr w:rsidR="00540A11" w14:paraId="23542D6F" w14:textId="77777777">
        <w:tc>
          <w:tcPr>
            <w:tcW w:w="9620" w:type="dxa"/>
          </w:tcPr>
          <w:p w14:paraId="6F2FC803" w14:textId="77777777" w:rsidR="00540A11" w:rsidRDefault="0049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finalizar con éxito la asignatura o módulo los estudiantes deberán ser capaces de:</w:t>
            </w:r>
          </w:p>
          <w:p w14:paraId="17192051" w14:textId="77777777" w:rsidR="00540A11" w:rsidRPr="008E6E68" w:rsidRDefault="004975D3" w:rsidP="00B455A3">
            <w:pPr>
              <w:pStyle w:val="Sinespaciado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8E6E68">
              <w:rPr>
                <w:color w:val="000000"/>
                <w:sz w:val="24"/>
                <w:szCs w:val="24"/>
              </w:rPr>
              <w:t xml:space="preserve">Comprender los principales aportes y limitaciones </w:t>
            </w:r>
            <w:r w:rsidR="009D7358" w:rsidRPr="008E6E68">
              <w:rPr>
                <w:color w:val="000000"/>
                <w:sz w:val="24"/>
                <w:szCs w:val="24"/>
              </w:rPr>
              <w:t xml:space="preserve">de la </w:t>
            </w:r>
            <w:r w:rsidR="009D7358" w:rsidRPr="008E6E68">
              <w:rPr>
                <w:sz w:val="24"/>
                <w:szCs w:val="24"/>
              </w:rPr>
              <w:t>etnografía como espacio discursivo y acciones intersubjetivas</w:t>
            </w:r>
            <w:r w:rsidRPr="008E6E68">
              <w:rPr>
                <w:color w:val="000000"/>
                <w:sz w:val="24"/>
                <w:szCs w:val="24"/>
              </w:rPr>
              <w:t>.</w:t>
            </w:r>
          </w:p>
          <w:p w14:paraId="39F97567" w14:textId="77777777" w:rsidR="009D7358" w:rsidRPr="008E6E68" w:rsidRDefault="009D7358" w:rsidP="00B455A3">
            <w:pPr>
              <w:pStyle w:val="Sinespaciado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8E6E68">
              <w:rPr>
                <w:color w:val="000000"/>
                <w:sz w:val="24"/>
                <w:szCs w:val="24"/>
              </w:rPr>
              <w:t>E</w:t>
            </w:r>
            <w:r w:rsidRPr="008E6E68">
              <w:rPr>
                <w:sz w:val="24"/>
                <w:szCs w:val="24"/>
              </w:rPr>
              <w:t>ntender la intersubjetividad como un campo de acción perteneciente al cuerpo y a la emoción, siendo necesario comprenderla desde sus motivaciones menos racionales y más conectadas desde una mirada simbólica.</w:t>
            </w:r>
          </w:p>
          <w:p w14:paraId="3219D02D" w14:textId="77777777" w:rsidR="009D7358" w:rsidRPr="009D7358" w:rsidRDefault="009D7358" w:rsidP="00B455A3">
            <w:pPr>
              <w:pStyle w:val="Sinespaciado"/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8E6E68">
              <w:rPr>
                <w:sz w:val="24"/>
                <w:szCs w:val="24"/>
              </w:rPr>
              <w:t>Conocer los pasos y técnicas a establecer para recoger información etnográfica en dos momentos de suma importancia: al momento de observar y participar; y al momento de definir y categorizar hallazgos</w:t>
            </w:r>
            <w:r w:rsidRPr="00B455A3">
              <w:rPr>
                <w:sz w:val="24"/>
                <w:szCs w:val="24"/>
              </w:rPr>
              <w:t>.</w:t>
            </w:r>
          </w:p>
        </w:tc>
      </w:tr>
    </w:tbl>
    <w:p w14:paraId="6F5FC20E" w14:textId="77777777" w:rsidR="00540A11" w:rsidRDefault="00540A11">
      <w:pPr>
        <w:spacing w:after="0" w:line="276" w:lineRule="auto"/>
        <w:rPr>
          <w:b/>
          <w:sz w:val="24"/>
          <w:szCs w:val="24"/>
        </w:rPr>
      </w:pPr>
    </w:p>
    <w:p w14:paraId="47A47EE8" w14:textId="77777777" w:rsidR="009D7358" w:rsidRDefault="009D7358">
      <w:pPr>
        <w:spacing w:after="0" w:line="276" w:lineRule="auto"/>
        <w:rPr>
          <w:b/>
          <w:sz w:val="24"/>
          <w:szCs w:val="24"/>
        </w:rPr>
      </w:pPr>
    </w:p>
    <w:p w14:paraId="0CA572CF" w14:textId="77777777" w:rsidR="009D7358" w:rsidRDefault="009D7358">
      <w:pPr>
        <w:spacing w:after="0" w:line="276" w:lineRule="auto"/>
        <w:rPr>
          <w:b/>
          <w:sz w:val="24"/>
          <w:szCs w:val="24"/>
        </w:rPr>
      </w:pPr>
    </w:p>
    <w:p w14:paraId="42323196" w14:textId="77777777" w:rsidR="00B455A3" w:rsidRDefault="00B455A3">
      <w:pPr>
        <w:spacing w:after="0" w:line="276" w:lineRule="auto"/>
        <w:rPr>
          <w:b/>
          <w:sz w:val="24"/>
          <w:szCs w:val="24"/>
        </w:rPr>
      </w:pPr>
    </w:p>
    <w:p w14:paraId="1AA51EC9" w14:textId="77777777" w:rsidR="00540A11" w:rsidRDefault="00497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Contenidos</w:t>
      </w:r>
    </w:p>
    <w:tbl>
      <w:tblPr>
        <w:tblStyle w:val="a4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0"/>
      </w:tblGrid>
      <w:tr w:rsidR="00540A11" w14:paraId="0C65130C" w14:textId="77777777">
        <w:tc>
          <w:tcPr>
            <w:tcW w:w="9620" w:type="dxa"/>
          </w:tcPr>
          <w:p w14:paraId="4B9ACFF3" w14:textId="77777777" w:rsidR="00540A11" w:rsidRPr="00AE0171" w:rsidRDefault="004975D3">
            <w:pPr>
              <w:spacing w:line="276" w:lineRule="auto"/>
              <w:rPr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 xml:space="preserve">Unidad 1. </w:t>
            </w:r>
            <w:r w:rsidR="00532478" w:rsidRPr="00AE0171">
              <w:rPr>
                <w:i/>
                <w:sz w:val="24"/>
                <w:szCs w:val="24"/>
              </w:rPr>
              <w:t>Introducción a los estudios comprensivos, intersubjetivos y etnográficos</w:t>
            </w:r>
          </w:p>
          <w:p w14:paraId="0D286955" w14:textId="77777777" w:rsidR="00540A11" w:rsidRPr="00AE0171" w:rsidRDefault="00532478" w:rsidP="000C1798">
            <w:pPr>
              <w:pStyle w:val="Prrafodelista"/>
              <w:numPr>
                <w:ilvl w:val="1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 xml:space="preserve">Características de los estudios comprensivos </w:t>
            </w:r>
          </w:p>
          <w:p w14:paraId="625DA35D" w14:textId="77777777" w:rsidR="00532478" w:rsidRPr="00AE0171" w:rsidRDefault="00532478" w:rsidP="000C1798">
            <w:pPr>
              <w:pStyle w:val="Prrafodelista"/>
              <w:numPr>
                <w:ilvl w:val="1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 xml:space="preserve">Intersubjetividad colectiva: </w:t>
            </w:r>
            <w:proofErr w:type="spellStart"/>
            <w:r w:rsidRPr="00AE0171">
              <w:rPr>
                <w:sz w:val="24"/>
                <w:szCs w:val="24"/>
              </w:rPr>
              <w:t>Sociogénesis</w:t>
            </w:r>
            <w:proofErr w:type="spellEnd"/>
            <w:r w:rsidRPr="00AE0171">
              <w:rPr>
                <w:sz w:val="24"/>
                <w:szCs w:val="24"/>
              </w:rPr>
              <w:t xml:space="preserve"> y </w:t>
            </w:r>
            <w:proofErr w:type="spellStart"/>
            <w:r w:rsidRPr="00AE0171">
              <w:rPr>
                <w:sz w:val="24"/>
                <w:szCs w:val="24"/>
              </w:rPr>
              <w:t>psicogénesis</w:t>
            </w:r>
            <w:proofErr w:type="spellEnd"/>
          </w:p>
          <w:p w14:paraId="3D511D8C" w14:textId="77777777" w:rsidR="004B7D5B" w:rsidRPr="00AE0171" w:rsidRDefault="004B7D5B" w:rsidP="000C1798">
            <w:pPr>
              <w:pStyle w:val="Prrafodelista"/>
              <w:numPr>
                <w:ilvl w:val="1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>Cuerpo, emociones y sensibilidades intersubjetivas</w:t>
            </w:r>
          </w:p>
          <w:p w14:paraId="6BE759E0" w14:textId="77777777" w:rsidR="00532478" w:rsidRPr="00AE0171" w:rsidRDefault="00532478" w:rsidP="00532478">
            <w:pPr>
              <w:pStyle w:val="Prrafodelista"/>
              <w:numPr>
                <w:ilvl w:val="1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>Espacios discursivos como hallazgo etnográfico: Actuación y discurso</w:t>
            </w:r>
          </w:p>
          <w:p w14:paraId="256FD44C" w14:textId="77777777" w:rsidR="00540A11" w:rsidRPr="00AE0171" w:rsidRDefault="00540A11">
            <w:pPr>
              <w:spacing w:line="276" w:lineRule="auto"/>
              <w:rPr>
                <w:sz w:val="24"/>
                <w:szCs w:val="24"/>
              </w:rPr>
            </w:pPr>
          </w:p>
          <w:p w14:paraId="4E302D11" w14:textId="77777777" w:rsidR="00540A11" w:rsidRPr="00AE0171" w:rsidRDefault="004975D3">
            <w:pPr>
              <w:spacing w:line="276" w:lineRule="auto"/>
              <w:rPr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 xml:space="preserve">Unidad 2. </w:t>
            </w:r>
            <w:r w:rsidR="00532478" w:rsidRPr="00AE0171">
              <w:rPr>
                <w:i/>
                <w:sz w:val="24"/>
                <w:szCs w:val="24"/>
              </w:rPr>
              <w:t>E</w:t>
            </w:r>
            <w:r w:rsidR="000C1798" w:rsidRPr="00AE0171">
              <w:rPr>
                <w:i/>
                <w:sz w:val="24"/>
                <w:szCs w:val="24"/>
              </w:rPr>
              <w:t>studios etnográficos</w:t>
            </w:r>
            <w:r w:rsidR="00532478" w:rsidRPr="00AE0171">
              <w:rPr>
                <w:i/>
                <w:sz w:val="24"/>
                <w:szCs w:val="24"/>
              </w:rPr>
              <w:t xml:space="preserve"> en el campo de la </w:t>
            </w:r>
            <w:r w:rsidR="001C1A86" w:rsidRPr="00AE0171">
              <w:rPr>
                <w:i/>
                <w:sz w:val="24"/>
                <w:szCs w:val="24"/>
              </w:rPr>
              <w:t>inter</w:t>
            </w:r>
            <w:r w:rsidR="00532478" w:rsidRPr="00AE0171">
              <w:rPr>
                <w:i/>
                <w:sz w:val="24"/>
                <w:szCs w:val="24"/>
              </w:rPr>
              <w:t>subjetividad discursiva</w:t>
            </w:r>
          </w:p>
          <w:p w14:paraId="293DCDA1" w14:textId="77777777" w:rsidR="000C1798" w:rsidRPr="00AE0171" w:rsidRDefault="004975D3" w:rsidP="000C1798">
            <w:pPr>
              <w:spacing w:line="276" w:lineRule="auto"/>
              <w:ind w:left="708"/>
              <w:rPr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 xml:space="preserve">2.1. </w:t>
            </w:r>
            <w:r w:rsidR="000C1798" w:rsidRPr="00AE0171">
              <w:rPr>
                <w:sz w:val="24"/>
                <w:szCs w:val="24"/>
              </w:rPr>
              <w:t xml:space="preserve">Debates en torno a la etnografía </w:t>
            </w:r>
            <w:r w:rsidR="001C1A86" w:rsidRPr="00AE0171">
              <w:rPr>
                <w:sz w:val="24"/>
                <w:szCs w:val="24"/>
              </w:rPr>
              <w:t>y el malestar no-objetivo del suceso</w:t>
            </w:r>
          </w:p>
          <w:p w14:paraId="430654E8" w14:textId="77777777" w:rsidR="000C1798" w:rsidRPr="00AE0171" w:rsidRDefault="000C1798" w:rsidP="000C1798">
            <w:pPr>
              <w:spacing w:line="276" w:lineRule="auto"/>
              <w:ind w:left="708"/>
              <w:rPr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>2.2. Rol del investigado</w:t>
            </w:r>
            <w:r w:rsidR="00AA4035" w:rsidRPr="00AE0171">
              <w:rPr>
                <w:sz w:val="24"/>
                <w:szCs w:val="24"/>
              </w:rPr>
              <w:t xml:space="preserve">r </w:t>
            </w:r>
            <w:r w:rsidR="00AE0171">
              <w:rPr>
                <w:sz w:val="24"/>
                <w:szCs w:val="24"/>
              </w:rPr>
              <w:t>en el ámbito de la etnografía: observación participante.</w:t>
            </w:r>
          </w:p>
          <w:p w14:paraId="64F423B1" w14:textId="77777777" w:rsidR="007A4E30" w:rsidRPr="00AE0171" w:rsidRDefault="007A4E30" w:rsidP="000C1798">
            <w:pPr>
              <w:spacing w:line="276" w:lineRule="auto"/>
              <w:ind w:left="708"/>
              <w:rPr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>2.3. Relaciones simbólicas y estrategias en el campo de acción de los sujetos.</w:t>
            </w:r>
          </w:p>
          <w:p w14:paraId="050A2E39" w14:textId="77777777" w:rsidR="00083FC7" w:rsidRPr="00AE0171" w:rsidRDefault="007A4E30" w:rsidP="00083FC7">
            <w:pPr>
              <w:spacing w:line="276" w:lineRule="auto"/>
              <w:ind w:left="708"/>
              <w:rPr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>2.4. Escenarios de antagonismos y con</w:t>
            </w:r>
            <w:r w:rsidR="00083FC7" w:rsidRPr="00AE0171">
              <w:rPr>
                <w:sz w:val="24"/>
                <w:szCs w:val="24"/>
              </w:rPr>
              <w:t>flicto.</w:t>
            </w:r>
          </w:p>
          <w:p w14:paraId="729BE9EA" w14:textId="77777777" w:rsidR="00540A11" w:rsidRPr="00AE0171" w:rsidRDefault="00083FC7" w:rsidP="00083FC7">
            <w:pPr>
              <w:spacing w:line="276" w:lineRule="auto"/>
              <w:ind w:left="708"/>
              <w:rPr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>2.5. Ruptura y continuidad en el trabajo de campo.</w:t>
            </w:r>
          </w:p>
          <w:p w14:paraId="6269B276" w14:textId="77777777" w:rsidR="00083FC7" w:rsidRPr="00AE0171" w:rsidRDefault="00083FC7" w:rsidP="00532478">
            <w:pPr>
              <w:spacing w:line="276" w:lineRule="auto"/>
              <w:rPr>
                <w:sz w:val="24"/>
                <w:szCs w:val="24"/>
              </w:rPr>
            </w:pPr>
          </w:p>
          <w:p w14:paraId="0BF04DD5" w14:textId="77777777" w:rsidR="00540A11" w:rsidRPr="00AE0171" w:rsidRDefault="004975D3" w:rsidP="00532478">
            <w:pPr>
              <w:spacing w:line="276" w:lineRule="auto"/>
              <w:rPr>
                <w:i/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 xml:space="preserve">Unidad 3. </w:t>
            </w:r>
            <w:r w:rsidR="007A4E30" w:rsidRPr="00AE0171">
              <w:rPr>
                <w:i/>
                <w:sz w:val="24"/>
                <w:szCs w:val="24"/>
              </w:rPr>
              <w:t>Perspectivas técnicas y éticas para el desarrollo y finalización de la etnografía</w:t>
            </w:r>
          </w:p>
          <w:p w14:paraId="1CE6AC9D" w14:textId="77777777" w:rsidR="003A619A" w:rsidRPr="00AE0171" w:rsidRDefault="001C1A86" w:rsidP="003A619A">
            <w:pPr>
              <w:spacing w:line="276" w:lineRule="auto"/>
              <w:ind w:left="708"/>
              <w:rPr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 xml:space="preserve">3.1. </w:t>
            </w:r>
            <w:r w:rsidR="007A4E30" w:rsidRPr="00AE0171">
              <w:rPr>
                <w:sz w:val="24"/>
                <w:szCs w:val="24"/>
              </w:rPr>
              <w:t xml:space="preserve">Anotar, escribir, dibujar y narrar: el arte de la descripción  coordinada. </w:t>
            </w:r>
          </w:p>
          <w:p w14:paraId="5878BA68" w14:textId="77777777" w:rsidR="003A619A" w:rsidRPr="00AE0171" w:rsidRDefault="007A4E30" w:rsidP="00083FC7">
            <w:pPr>
              <w:spacing w:line="276" w:lineRule="auto"/>
              <w:ind w:left="708"/>
              <w:rPr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 xml:space="preserve">3.2. </w:t>
            </w:r>
            <w:r w:rsidR="003A619A" w:rsidRPr="00AE0171">
              <w:rPr>
                <w:sz w:val="24"/>
                <w:szCs w:val="24"/>
              </w:rPr>
              <w:t>Ética y anonimato en el trabajo de campo.</w:t>
            </w:r>
          </w:p>
          <w:p w14:paraId="2A940A8A" w14:textId="77777777" w:rsidR="00540A11" w:rsidRPr="009D7358" w:rsidRDefault="00083FC7">
            <w:pPr>
              <w:spacing w:line="276" w:lineRule="auto"/>
              <w:ind w:left="708"/>
              <w:rPr>
                <w:sz w:val="24"/>
                <w:szCs w:val="24"/>
              </w:rPr>
            </w:pPr>
            <w:r w:rsidRPr="00AE0171">
              <w:rPr>
                <w:sz w:val="24"/>
                <w:szCs w:val="24"/>
              </w:rPr>
              <w:t>3.3</w:t>
            </w:r>
            <w:r w:rsidR="003A619A" w:rsidRPr="00AE0171">
              <w:rPr>
                <w:sz w:val="24"/>
                <w:szCs w:val="24"/>
              </w:rPr>
              <w:t xml:space="preserve">. </w:t>
            </w:r>
            <w:r w:rsidR="007A4E30" w:rsidRPr="00AE0171">
              <w:rPr>
                <w:i/>
                <w:sz w:val="24"/>
                <w:szCs w:val="24"/>
              </w:rPr>
              <w:t>Del campo al escritorio: analizando e interpretando los datos etnográficos</w:t>
            </w:r>
          </w:p>
        </w:tc>
      </w:tr>
    </w:tbl>
    <w:p w14:paraId="1C986EB4" w14:textId="77777777" w:rsidR="00540A11" w:rsidRDefault="00540A11">
      <w:pPr>
        <w:spacing w:after="0" w:line="276" w:lineRule="auto"/>
        <w:rPr>
          <w:b/>
          <w:sz w:val="24"/>
          <w:szCs w:val="24"/>
        </w:rPr>
      </w:pPr>
    </w:p>
    <w:p w14:paraId="1EDBC3D6" w14:textId="77777777" w:rsidR="00540A11" w:rsidRDefault="00497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Metodologías y estrategias de enseñanza-aprendizaje</w:t>
      </w:r>
    </w:p>
    <w:tbl>
      <w:tblPr>
        <w:tblStyle w:val="a5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0"/>
      </w:tblGrid>
      <w:tr w:rsidR="00540A11" w14:paraId="37E6E417" w14:textId="77777777">
        <w:tc>
          <w:tcPr>
            <w:tcW w:w="9620" w:type="dxa"/>
          </w:tcPr>
          <w:p w14:paraId="6FF4B76A" w14:textId="77777777" w:rsidR="00540A11" w:rsidRDefault="004975D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 de la clase:</w:t>
            </w:r>
          </w:p>
          <w:p w14:paraId="1A2D5313" w14:textId="7846D150" w:rsidR="00540A11" w:rsidRDefault="004975D3" w:rsidP="002F78A0">
            <w:pPr>
              <w:pStyle w:val="Sinespaciado"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Exposición </w:t>
            </w:r>
            <w:r w:rsidR="002F78A0">
              <w:rPr>
                <w:color w:val="000000"/>
                <w:sz w:val="24"/>
                <w:szCs w:val="24"/>
              </w:rPr>
              <w:t>de los contenidos</w:t>
            </w:r>
            <w:r w:rsidR="00B455A3" w:rsidRPr="009D7358">
              <w:rPr>
                <w:color w:val="000000"/>
                <w:sz w:val="24"/>
                <w:szCs w:val="24"/>
              </w:rPr>
              <w:t>.</w:t>
            </w:r>
          </w:p>
          <w:p w14:paraId="6A73F36D" w14:textId="0AB3CA06" w:rsidR="00ED5823" w:rsidRDefault="002F78A0" w:rsidP="002F78A0">
            <w:pPr>
              <w:pStyle w:val="Sinespaciado"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Discusión a partir de las l</w:t>
            </w:r>
            <w:r w:rsidR="00ED5823">
              <w:rPr>
                <w:color w:val="000000"/>
                <w:sz w:val="24"/>
                <w:szCs w:val="24"/>
              </w:rPr>
              <w:t>ectura</w:t>
            </w:r>
            <w:r>
              <w:rPr>
                <w:color w:val="000000"/>
                <w:sz w:val="24"/>
                <w:szCs w:val="24"/>
              </w:rPr>
              <w:t>s</w:t>
            </w:r>
          </w:p>
          <w:p w14:paraId="30E9172B" w14:textId="6E1C5D24" w:rsidR="00ED5823" w:rsidRDefault="00ED5823" w:rsidP="002F78A0">
            <w:pPr>
              <w:pStyle w:val="Sinespaciado"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Diálogo a partir de preguntas planteadas</w:t>
            </w:r>
          </w:p>
          <w:p w14:paraId="57D8B33A" w14:textId="249A6B96" w:rsidR="00B455A3" w:rsidRPr="00B455A3" w:rsidRDefault="00C31823" w:rsidP="00C31823">
            <w:pPr>
              <w:pStyle w:val="Sinespaciado"/>
              <w:tabs>
                <w:tab w:val="left" w:pos="5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  <w:p w14:paraId="2F60A22C" w14:textId="77777777" w:rsidR="00540A11" w:rsidRDefault="004975D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Trabajo autónomo de los estudiantes:</w:t>
            </w:r>
          </w:p>
          <w:p w14:paraId="446DA4C3" w14:textId="1528F732" w:rsidR="002F78A0" w:rsidRPr="002F78A0" w:rsidRDefault="002F78A0" w:rsidP="002F78A0">
            <w:pPr>
              <w:pStyle w:val="Sinespaciad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78A0">
              <w:rPr>
                <w:sz w:val="24"/>
                <w:szCs w:val="24"/>
              </w:rPr>
              <w:t>Lectura de los textos entregados</w:t>
            </w:r>
          </w:p>
          <w:p w14:paraId="5F9FFF26" w14:textId="4F12DB3C" w:rsidR="002F78A0" w:rsidRPr="002F78A0" w:rsidRDefault="002F78A0" w:rsidP="002F78A0">
            <w:pPr>
              <w:pStyle w:val="Sinespaciad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78A0">
              <w:rPr>
                <w:sz w:val="24"/>
                <w:szCs w:val="24"/>
              </w:rPr>
              <w:t>Revisión de textos para realizar el informe</w:t>
            </w:r>
          </w:p>
          <w:p w14:paraId="293A2D41" w14:textId="23C24361" w:rsidR="00540A11" w:rsidRDefault="004975D3" w:rsidP="002F78A0">
            <w:pPr>
              <w:pStyle w:val="Sinespaciado"/>
              <w:numPr>
                <w:ilvl w:val="0"/>
                <w:numId w:val="9"/>
              </w:numPr>
            </w:pPr>
            <w:r w:rsidRPr="002F78A0">
              <w:rPr>
                <w:sz w:val="24"/>
                <w:szCs w:val="24"/>
              </w:rPr>
              <w:t xml:space="preserve">Realización de </w:t>
            </w:r>
            <w:r w:rsidR="002F78A0" w:rsidRPr="002F78A0">
              <w:rPr>
                <w:sz w:val="24"/>
                <w:szCs w:val="24"/>
              </w:rPr>
              <w:t xml:space="preserve">los </w:t>
            </w:r>
            <w:r w:rsidRPr="002F78A0">
              <w:rPr>
                <w:sz w:val="24"/>
                <w:szCs w:val="24"/>
              </w:rPr>
              <w:t>ejercicio</w:t>
            </w:r>
            <w:r w:rsidR="00B455A3" w:rsidRPr="002F78A0">
              <w:rPr>
                <w:sz w:val="24"/>
                <w:szCs w:val="24"/>
              </w:rPr>
              <w:t>s</w:t>
            </w:r>
            <w:r w:rsidRPr="002F78A0">
              <w:rPr>
                <w:sz w:val="24"/>
                <w:szCs w:val="24"/>
              </w:rPr>
              <w:t xml:space="preserve"> de análisis</w:t>
            </w:r>
            <w:r w:rsidR="00B455A3" w:rsidRPr="002F78A0">
              <w:rPr>
                <w:sz w:val="24"/>
                <w:szCs w:val="24"/>
              </w:rPr>
              <w:t>.</w:t>
            </w:r>
          </w:p>
        </w:tc>
      </w:tr>
    </w:tbl>
    <w:p w14:paraId="2FC91927" w14:textId="77777777" w:rsidR="00540A11" w:rsidRDefault="00540A11">
      <w:pPr>
        <w:spacing w:after="0" w:line="276" w:lineRule="auto"/>
        <w:ind w:left="360"/>
        <w:rPr>
          <w:b/>
          <w:sz w:val="24"/>
          <w:szCs w:val="24"/>
        </w:rPr>
      </w:pPr>
    </w:p>
    <w:p w14:paraId="50D6BBFE" w14:textId="77777777" w:rsidR="00540A11" w:rsidRDefault="00497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Evaluación</w:t>
      </w:r>
    </w:p>
    <w:tbl>
      <w:tblPr>
        <w:tblStyle w:val="a6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0"/>
      </w:tblGrid>
      <w:tr w:rsidR="00540A11" w14:paraId="4CA2EA16" w14:textId="77777777">
        <w:tc>
          <w:tcPr>
            <w:tcW w:w="9620" w:type="dxa"/>
          </w:tcPr>
          <w:p w14:paraId="58F6DC68" w14:textId="43443894" w:rsidR="009E5873" w:rsidRPr="00831905" w:rsidRDefault="009E5873" w:rsidP="00831905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31905">
              <w:rPr>
                <w:color w:val="000000"/>
                <w:sz w:val="24"/>
                <w:szCs w:val="24"/>
              </w:rPr>
              <w:t>Participaci</w:t>
            </w:r>
            <w:r w:rsidR="00B455A3" w:rsidRPr="00831905">
              <w:rPr>
                <w:color w:val="000000"/>
                <w:sz w:val="24"/>
                <w:szCs w:val="24"/>
              </w:rPr>
              <w:t>ón</w:t>
            </w:r>
            <w:r w:rsidRPr="00831905">
              <w:rPr>
                <w:color w:val="000000"/>
                <w:sz w:val="24"/>
                <w:szCs w:val="24"/>
              </w:rPr>
              <w:t xml:space="preserve"> en la</w:t>
            </w:r>
            <w:r w:rsidR="00ED5823" w:rsidRPr="00831905">
              <w:rPr>
                <w:color w:val="000000"/>
                <w:sz w:val="24"/>
                <w:szCs w:val="24"/>
              </w:rPr>
              <w:t xml:space="preserve">s </w:t>
            </w:r>
            <w:r w:rsidRPr="00831905">
              <w:rPr>
                <w:color w:val="000000"/>
                <w:sz w:val="24"/>
                <w:szCs w:val="24"/>
              </w:rPr>
              <w:t>sesiones</w:t>
            </w:r>
            <w:r w:rsidR="00ED5823" w:rsidRPr="00831905">
              <w:rPr>
                <w:color w:val="000000"/>
                <w:sz w:val="24"/>
                <w:szCs w:val="24"/>
              </w:rPr>
              <w:t>, especialmente los contenidos claves del curso</w:t>
            </w:r>
            <w:r w:rsidR="002F78A0" w:rsidRPr="00831905">
              <w:rPr>
                <w:color w:val="000000"/>
                <w:sz w:val="24"/>
                <w:szCs w:val="24"/>
              </w:rPr>
              <w:t>. Para ello se plantearán preguntas que cada estudiante debe reflexionar y responder</w:t>
            </w:r>
            <w:r w:rsidR="00B455A3" w:rsidRPr="00831905">
              <w:rPr>
                <w:color w:val="000000"/>
                <w:sz w:val="24"/>
                <w:szCs w:val="24"/>
              </w:rPr>
              <w:t xml:space="preserve"> </w:t>
            </w:r>
            <w:r w:rsidR="002B5E1F" w:rsidRPr="00831905">
              <w:rPr>
                <w:color w:val="000000"/>
                <w:sz w:val="24"/>
                <w:szCs w:val="24"/>
              </w:rPr>
              <w:t xml:space="preserve">a fin de comprender los principales conceptos </w:t>
            </w:r>
            <w:r w:rsidR="00B455A3" w:rsidRPr="00831905">
              <w:rPr>
                <w:color w:val="000000"/>
                <w:sz w:val="24"/>
                <w:szCs w:val="24"/>
              </w:rPr>
              <w:t>(</w:t>
            </w:r>
            <w:r w:rsidR="00ED5823" w:rsidRPr="00831905">
              <w:rPr>
                <w:color w:val="000000"/>
                <w:sz w:val="24"/>
                <w:szCs w:val="24"/>
              </w:rPr>
              <w:t>RA</w:t>
            </w:r>
            <w:r w:rsidR="00B455A3" w:rsidRPr="00831905">
              <w:rPr>
                <w:color w:val="000000"/>
                <w:sz w:val="24"/>
                <w:szCs w:val="24"/>
              </w:rPr>
              <w:t>1):</w:t>
            </w:r>
            <w:r w:rsidRPr="00831905">
              <w:rPr>
                <w:color w:val="000000"/>
                <w:sz w:val="24"/>
                <w:szCs w:val="24"/>
              </w:rPr>
              <w:t xml:space="preserve"> (20%)</w:t>
            </w:r>
          </w:p>
          <w:p w14:paraId="11727985" w14:textId="66ECF46B" w:rsidR="00540A11" w:rsidRPr="00831905" w:rsidRDefault="009A5A6D" w:rsidP="00831905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31905">
              <w:rPr>
                <w:color w:val="000000"/>
                <w:sz w:val="24"/>
                <w:szCs w:val="24"/>
              </w:rPr>
              <w:lastRenderedPageBreak/>
              <w:t>I</w:t>
            </w:r>
            <w:r w:rsidR="004975D3" w:rsidRPr="00831905">
              <w:rPr>
                <w:color w:val="000000"/>
                <w:sz w:val="24"/>
                <w:szCs w:val="24"/>
              </w:rPr>
              <w:t xml:space="preserve">nforme de </w:t>
            </w:r>
            <w:r w:rsidRPr="00831905">
              <w:rPr>
                <w:color w:val="000000"/>
                <w:sz w:val="24"/>
                <w:szCs w:val="24"/>
              </w:rPr>
              <w:t>aplicación audiovisual</w:t>
            </w:r>
            <w:r w:rsidR="004975D3" w:rsidRPr="00831905">
              <w:rPr>
                <w:color w:val="000000"/>
                <w:sz w:val="24"/>
                <w:szCs w:val="24"/>
              </w:rPr>
              <w:t xml:space="preserve"> (en formato .</w:t>
            </w:r>
            <w:proofErr w:type="spellStart"/>
            <w:r w:rsidR="004975D3" w:rsidRPr="00831905">
              <w:rPr>
                <w:color w:val="000000"/>
                <w:sz w:val="24"/>
                <w:szCs w:val="24"/>
              </w:rPr>
              <w:t>doc</w:t>
            </w:r>
            <w:proofErr w:type="spellEnd"/>
            <w:r w:rsidR="004975D3" w:rsidRPr="00831905">
              <w:rPr>
                <w:color w:val="000000"/>
                <w:sz w:val="24"/>
                <w:szCs w:val="24"/>
              </w:rPr>
              <w:t xml:space="preserve"> y </w:t>
            </w:r>
            <w:r w:rsidRPr="00831905">
              <w:rPr>
                <w:color w:val="000000"/>
                <w:sz w:val="24"/>
                <w:szCs w:val="24"/>
              </w:rPr>
              <w:t xml:space="preserve">subido al </w:t>
            </w:r>
            <w:proofErr w:type="spellStart"/>
            <w:r w:rsidRPr="00831905">
              <w:rPr>
                <w:i/>
                <w:iCs/>
                <w:color w:val="000000"/>
                <w:sz w:val="24"/>
                <w:szCs w:val="24"/>
              </w:rPr>
              <w:t>classroom</w:t>
            </w:r>
            <w:proofErr w:type="spellEnd"/>
            <w:r w:rsidRPr="00831905">
              <w:rPr>
                <w:color w:val="000000"/>
                <w:sz w:val="24"/>
                <w:szCs w:val="24"/>
              </w:rPr>
              <w:t xml:space="preserve"> del curso</w:t>
            </w:r>
            <w:r w:rsidR="0056321C" w:rsidRPr="00831905">
              <w:rPr>
                <w:color w:val="000000"/>
                <w:sz w:val="24"/>
                <w:szCs w:val="24"/>
              </w:rPr>
              <w:t>), con el objetivo de abordar la intersubjetividad desde el cuerpo y las emociones</w:t>
            </w:r>
            <w:r w:rsidR="00B455A3" w:rsidRPr="00831905">
              <w:rPr>
                <w:color w:val="000000"/>
                <w:sz w:val="24"/>
                <w:szCs w:val="24"/>
              </w:rPr>
              <w:t xml:space="preserve"> </w:t>
            </w:r>
            <w:r w:rsidR="00B455A3" w:rsidRPr="00831905">
              <w:rPr>
                <w:color w:val="000000"/>
                <w:sz w:val="24"/>
                <w:szCs w:val="24"/>
                <w:shd w:val="clear" w:color="auto" w:fill="FFFFFF" w:themeFill="background1"/>
              </w:rPr>
              <w:t>(</w:t>
            </w:r>
            <w:r w:rsidR="00ED5823" w:rsidRPr="00831905">
              <w:rPr>
                <w:color w:val="000000"/>
                <w:sz w:val="24"/>
                <w:szCs w:val="24"/>
                <w:shd w:val="clear" w:color="auto" w:fill="FFFFFF" w:themeFill="background1"/>
              </w:rPr>
              <w:t>RA</w:t>
            </w:r>
            <w:r w:rsidR="00B455A3" w:rsidRPr="00831905">
              <w:rPr>
                <w:color w:val="000000"/>
                <w:sz w:val="24"/>
                <w:szCs w:val="24"/>
                <w:shd w:val="clear" w:color="auto" w:fill="FFFFFF" w:themeFill="background1"/>
              </w:rPr>
              <w:t>2)</w:t>
            </w:r>
            <w:r w:rsidRPr="00831905">
              <w:rPr>
                <w:color w:val="000000"/>
                <w:sz w:val="24"/>
                <w:szCs w:val="24"/>
              </w:rPr>
              <w:t>: 4</w:t>
            </w:r>
            <w:r w:rsidR="004975D3" w:rsidRPr="00831905">
              <w:rPr>
                <w:color w:val="000000"/>
                <w:sz w:val="24"/>
                <w:szCs w:val="24"/>
              </w:rPr>
              <w:t>0%</w:t>
            </w:r>
          </w:p>
          <w:p w14:paraId="6FACA0D4" w14:textId="25F918E1" w:rsidR="009E5873" w:rsidRPr="00831905" w:rsidRDefault="009A5A6D" w:rsidP="00831905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831905">
              <w:rPr>
                <w:color w:val="000000"/>
                <w:sz w:val="24"/>
                <w:szCs w:val="24"/>
              </w:rPr>
              <w:t>Informe de aplicación a la coyuntura social y política actual</w:t>
            </w:r>
            <w:r w:rsidR="004975D3" w:rsidRPr="00831905">
              <w:rPr>
                <w:color w:val="000000"/>
                <w:sz w:val="24"/>
                <w:szCs w:val="24"/>
              </w:rPr>
              <w:t xml:space="preserve"> (en formato .</w:t>
            </w:r>
            <w:proofErr w:type="spellStart"/>
            <w:r w:rsidR="004975D3" w:rsidRPr="00831905">
              <w:rPr>
                <w:color w:val="000000"/>
                <w:sz w:val="24"/>
                <w:szCs w:val="24"/>
              </w:rPr>
              <w:t>doc</w:t>
            </w:r>
            <w:proofErr w:type="spellEnd"/>
            <w:r w:rsidR="004975D3" w:rsidRPr="00831905">
              <w:rPr>
                <w:color w:val="000000"/>
                <w:sz w:val="24"/>
                <w:szCs w:val="24"/>
              </w:rPr>
              <w:t xml:space="preserve"> </w:t>
            </w:r>
            <w:r w:rsidRPr="00831905">
              <w:rPr>
                <w:color w:val="000000"/>
                <w:sz w:val="24"/>
                <w:szCs w:val="24"/>
              </w:rPr>
              <w:t xml:space="preserve">y subido al </w:t>
            </w:r>
            <w:proofErr w:type="spellStart"/>
            <w:r w:rsidRPr="00831905">
              <w:rPr>
                <w:i/>
                <w:iCs/>
                <w:color w:val="000000"/>
                <w:sz w:val="24"/>
                <w:szCs w:val="24"/>
              </w:rPr>
              <w:t>classroom</w:t>
            </w:r>
            <w:proofErr w:type="spellEnd"/>
            <w:r w:rsidRPr="00831905">
              <w:rPr>
                <w:color w:val="000000"/>
                <w:sz w:val="24"/>
                <w:szCs w:val="24"/>
              </w:rPr>
              <w:t xml:space="preserve"> del curso</w:t>
            </w:r>
            <w:r w:rsidR="004975D3" w:rsidRPr="00831905">
              <w:rPr>
                <w:color w:val="000000"/>
                <w:sz w:val="24"/>
                <w:szCs w:val="24"/>
              </w:rPr>
              <w:t>),</w:t>
            </w:r>
            <w:r w:rsidR="004975D3" w:rsidRPr="0083190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975D3" w:rsidRPr="00831905">
              <w:rPr>
                <w:color w:val="000000"/>
                <w:sz w:val="24"/>
                <w:szCs w:val="24"/>
              </w:rPr>
              <w:t xml:space="preserve">asociado a la investigación de </w:t>
            </w:r>
            <w:r w:rsidRPr="00831905">
              <w:rPr>
                <w:color w:val="000000"/>
                <w:sz w:val="24"/>
                <w:szCs w:val="24"/>
              </w:rPr>
              <w:t>tesis</w:t>
            </w:r>
            <w:r w:rsidR="002F78A0" w:rsidRPr="00831905">
              <w:rPr>
                <w:color w:val="000000"/>
                <w:sz w:val="24"/>
                <w:szCs w:val="24"/>
              </w:rPr>
              <w:t>. Este informe será entregado al finalizar el curso</w:t>
            </w:r>
            <w:r w:rsidR="00AC1B70" w:rsidRPr="00831905">
              <w:rPr>
                <w:color w:val="000000"/>
                <w:sz w:val="24"/>
                <w:szCs w:val="24"/>
              </w:rPr>
              <w:t>, con el doble objetivo de comprender los conceptos y aplicar los pasos y técnicas para recoger información etnográfica</w:t>
            </w:r>
            <w:r w:rsidR="00B455A3" w:rsidRPr="00831905">
              <w:rPr>
                <w:color w:val="000000"/>
                <w:sz w:val="24"/>
                <w:szCs w:val="24"/>
              </w:rPr>
              <w:t xml:space="preserve"> (</w:t>
            </w:r>
            <w:r w:rsidR="00D0613B" w:rsidRPr="00831905">
              <w:rPr>
                <w:color w:val="000000"/>
                <w:sz w:val="24"/>
                <w:szCs w:val="24"/>
              </w:rPr>
              <w:t>RA</w:t>
            </w:r>
            <w:r w:rsidR="00B455A3" w:rsidRPr="00831905">
              <w:rPr>
                <w:color w:val="000000"/>
                <w:sz w:val="24"/>
                <w:szCs w:val="24"/>
              </w:rPr>
              <w:t xml:space="preserve">1 y </w:t>
            </w:r>
            <w:r w:rsidR="00D0613B" w:rsidRPr="00831905">
              <w:rPr>
                <w:color w:val="000000"/>
                <w:sz w:val="24"/>
                <w:szCs w:val="24"/>
              </w:rPr>
              <w:t>RA</w:t>
            </w:r>
            <w:r w:rsidR="00B455A3" w:rsidRPr="00831905">
              <w:rPr>
                <w:color w:val="000000"/>
                <w:sz w:val="24"/>
                <w:szCs w:val="24"/>
              </w:rPr>
              <w:t>3)</w:t>
            </w:r>
            <w:r w:rsidRPr="00831905">
              <w:rPr>
                <w:color w:val="000000"/>
                <w:sz w:val="24"/>
                <w:szCs w:val="24"/>
              </w:rPr>
              <w:t>: 4</w:t>
            </w:r>
            <w:r w:rsidR="004975D3" w:rsidRPr="00831905">
              <w:rPr>
                <w:color w:val="000000"/>
                <w:sz w:val="24"/>
                <w:szCs w:val="24"/>
              </w:rPr>
              <w:t>0%</w:t>
            </w:r>
          </w:p>
        </w:tc>
      </w:tr>
      <w:tr w:rsidR="00540A11" w14:paraId="619DC0BC" w14:textId="77777777">
        <w:tc>
          <w:tcPr>
            <w:tcW w:w="9620" w:type="dxa"/>
            <w:shd w:val="clear" w:color="auto" w:fill="DEEBF6"/>
          </w:tcPr>
          <w:p w14:paraId="20FB3E9D" w14:textId="77777777" w:rsidR="00540A11" w:rsidRDefault="004975D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PLAGIO: es el uso de un trabajo, idea o creación de otra persona, sin citar la apropiada referencia y constituye una falta ética. En la actualidad, con las herramientas de informática es fácilmente detectable. En ninguna actividad curricular se acepta el plagio, ya sea en presentaciones orales, escritas o visuales, por lo que quien lo cometa será sancionado académicamente.</w:t>
            </w:r>
          </w:p>
        </w:tc>
      </w:tr>
    </w:tbl>
    <w:p w14:paraId="7BF7D2DF" w14:textId="77777777" w:rsidR="00540A11" w:rsidRDefault="00540A11">
      <w:pPr>
        <w:spacing w:after="0" w:line="276" w:lineRule="auto"/>
        <w:rPr>
          <w:b/>
          <w:sz w:val="24"/>
          <w:szCs w:val="24"/>
        </w:rPr>
      </w:pPr>
    </w:p>
    <w:p w14:paraId="6D61A866" w14:textId="77777777" w:rsidR="00540A11" w:rsidRPr="00AE0171" w:rsidRDefault="00497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AE0171">
        <w:rPr>
          <w:b/>
          <w:color w:val="000000"/>
          <w:sz w:val="24"/>
          <w:szCs w:val="24"/>
        </w:rPr>
        <w:t>Bibliografía y Recursos</w:t>
      </w:r>
    </w:p>
    <w:tbl>
      <w:tblPr>
        <w:tblStyle w:val="a7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0"/>
      </w:tblGrid>
      <w:tr w:rsidR="00540A11" w14:paraId="7855B4D3" w14:textId="77777777">
        <w:tc>
          <w:tcPr>
            <w:tcW w:w="9620" w:type="dxa"/>
            <w:shd w:val="clear" w:color="auto" w:fill="DEEBF6"/>
          </w:tcPr>
          <w:p w14:paraId="568646C4" w14:textId="77777777" w:rsidR="00540A11" w:rsidRDefault="004975D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Básica</w:t>
            </w:r>
          </w:p>
        </w:tc>
      </w:tr>
      <w:tr w:rsidR="00540A11" w14:paraId="14CC137B" w14:textId="77777777">
        <w:tc>
          <w:tcPr>
            <w:tcW w:w="9620" w:type="dxa"/>
          </w:tcPr>
          <w:p w14:paraId="0B070AE0" w14:textId="127C3080" w:rsidR="00AE6FD2" w:rsidRDefault="00AE6FD2" w:rsidP="00AE6FD2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DIETZ, </w:t>
            </w:r>
            <w:proofErr w:type="spellStart"/>
            <w:r w:rsidRPr="008F7547">
              <w:t>Gunther</w:t>
            </w:r>
            <w:proofErr w:type="spellEnd"/>
            <w:r w:rsidRPr="008F7547">
              <w:t xml:space="preserve"> (2011)</w:t>
            </w:r>
            <w:r w:rsidR="008A50D1">
              <w:t>.</w:t>
            </w:r>
            <w:r w:rsidRPr="008F7547">
              <w:t xml:space="preserve"> “Hacia una etnografía doblemente reflexiva: una propuesta desde la antropología de la interculturalidad” En Revista </w:t>
            </w:r>
            <w:r w:rsidRPr="008F7547">
              <w:rPr>
                <w:i/>
                <w:iCs/>
              </w:rPr>
              <w:t xml:space="preserve">Antropólogos Iberoamericanos en Red </w:t>
            </w:r>
            <w:r w:rsidRPr="008F7547">
              <w:t>Nº1, Pp. 3-26</w:t>
            </w:r>
          </w:p>
          <w:p w14:paraId="2838EF8B" w14:textId="415D6CBA" w:rsidR="00AE6FD2" w:rsidRPr="008F7547" w:rsidRDefault="00AE6FD2" w:rsidP="00AE6FD2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>GUBER, Rosana (2004)</w:t>
            </w:r>
            <w:r w:rsidR="008A50D1">
              <w:t>.</w:t>
            </w:r>
            <w:r w:rsidRPr="008F7547">
              <w:t xml:space="preserve"> El salvaje metropolitano: Reconstrucción del conocimiento social en el trabajo de campo</w:t>
            </w:r>
            <w:r w:rsidR="003C75AF">
              <w:t>. Buenos Aires:</w:t>
            </w:r>
            <w:r w:rsidRPr="008F7547">
              <w:t xml:space="preserve"> Paidós</w:t>
            </w:r>
            <w:r w:rsidR="003C75AF">
              <w:t>.</w:t>
            </w:r>
          </w:p>
          <w:p w14:paraId="2B4A7BDE" w14:textId="22DE9038" w:rsidR="00AE6FD2" w:rsidRDefault="00EE75C2" w:rsidP="00AE6FD2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>GUBER, Rosana</w:t>
            </w:r>
            <w:r w:rsidR="00AE6FD2" w:rsidRPr="008F7547">
              <w:t xml:space="preserve"> (20</w:t>
            </w:r>
            <w:r w:rsidR="008140D7">
              <w:t>1</w:t>
            </w:r>
            <w:r w:rsidR="00AE6FD2" w:rsidRPr="008F7547">
              <w:t>1)</w:t>
            </w:r>
            <w:r w:rsidR="008A50D1">
              <w:t xml:space="preserve">. </w:t>
            </w:r>
            <w:r w:rsidR="00AE6FD2" w:rsidRPr="008F7547">
              <w:t>La etnografía: método, campo y reflexividad</w:t>
            </w:r>
            <w:r w:rsidR="008A50D1">
              <w:t xml:space="preserve">. </w:t>
            </w:r>
            <w:r w:rsidR="008140D7">
              <w:t>Buenos Aires: Siglo XXI.</w:t>
            </w:r>
          </w:p>
          <w:p w14:paraId="637EBB5A" w14:textId="74A3225D" w:rsidR="00DF624B" w:rsidRDefault="00D74124" w:rsidP="004C26E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HAMMERSLEY</w:t>
            </w:r>
            <w:r w:rsidR="00DF624B">
              <w:t xml:space="preserve">, P.&amp; </w:t>
            </w:r>
            <w:r>
              <w:t>ATKINSON</w:t>
            </w:r>
            <w:r w:rsidR="00DF624B">
              <w:t>, M. (1994)</w:t>
            </w:r>
            <w:r w:rsidR="008A50D1">
              <w:t>.</w:t>
            </w:r>
            <w:r w:rsidR="00DF624B">
              <w:t xml:space="preserve"> Etnografía. Métodos de Investigación. Barcelona: Editorial Paidós.</w:t>
            </w:r>
          </w:p>
          <w:p w14:paraId="6F2383A7" w14:textId="77777777" w:rsidR="008A50D1" w:rsidRDefault="004C26E7" w:rsidP="00AE6FD2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MARCUS, George y CUHSMAN, Dick (1982)</w:t>
            </w:r>
            <w:r w:rsidR="008A50D1">
              <w:t>.</w:t>
            </w:r>
            <w:r>
              <w:t xml:space="preserve"> “Las etnografías como textos”, en: Reynoso, Carlos (comp.): El surgimiento de la antropología posmoderna. Barcelona: </w:t>
            </w:r>
            <w:proofErr w:type="spellStart"/>
            <w:r>
              <w:t>Gedisa</w:t>
            </w:r>
            <w:proofErr w:type="spellEnd"/>
            <w:r>
              <w:t>, pp. 171-213.</w:t>
            </w:r>
          </w:p>
          <w:p w14:paraId="0FE66562" w14:textId="407E8F09" w:rsidR="00540A11" w:rsidRPr="00B455A3" w:rsidRDefault="00EB2A61" w:rsidP="00AE6FD2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>PERALTA, Claudina (2009)</w:t>
            </w:r>
            <w:r w:rsidR="008A50D1">
              <w:t>.</w:t>
            </w:r>
            <w:r w:rsidRPr="008F7547">
              <w:t xml:space="preserve"> “Etnografía y métodos etnográficos” En Revista </w:t>
            </w:r>
            <w:r w:rsidRPr="004C26E7">
              <w:rPr>
                <w:i/>
                <w:iCs/>
              </w:rPr>
              <w:t>Análisis</w:t>
            </w:r>
            <w:r w:rsidRPr="008F7547">
              <w:t xml:space="preserve"> Nº74, Pp. 33-52</w:t>
            </w:r>
            <w:r w:rsidR="00AE6FD2">
              <w:t>.</w:t>
            </w:r>
          </w:p>
        </w:tc>
      </w:tr>
      <w:tr w:rsidR="00540A11" w14:paraId="419BC574" w14:textId="77777777">
        <w:tc>
          <w:tcPr>
            <w:tcW w:w="9620" w:type="dxa"/>
            <w:shd w:val="clear" w:color="auto" w:fill="DEEBF6"/>
          </w:tcPr>
          <w:p w14:paraId="741415F8" w14:textId="77777777" w:rsidR="00540A11" w:rsidRDefault="004975D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Complementaria</w:t>
            </w:r>
          </w:p>
        </w:tc>
      </w:tr>
      <w:tr w:rsidR="00540A11" w14:paraId="5DB14AE6" w14:textId="77777777">
        <w:tc>
          <w:tcPr>
            <w:tcW w:w="9620" w:type="dxa"/>
          </w:tcPr>
          <w:p w14:paraId="0FF2BE72" w14:textId="77777777" w:rsidR="00EB2A61" w:rsidRPr="008F7547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ALBERTÍN, Pilar e IÑIGUEZ, </w:t>
            </w:r>
            <w:proofErr w:type="spellStart"/>
            <w:r w:rsidRPr="008F7547">
              <w:t>Lupicinio</w:t>
            </w:r>
            <w:proofErr w:type="spellEnd"/>
            <w:r w:rsidRPr="008F7547">
              <w:t xml:space="preserve"> (2010) “Un estudio etnográfico de usuarios de heroína: el uso de práctica reflexiva” En Revista </w:t>
            </w:r>
            <w:proofErr w:type="spellStart"/>
            <w:r w:rsidRPr="008F7547">
              <w:rPr>
                <w:i/>
                <w:iCs/>
              </w:rPr>
              <w:t>Empiria</w:t>
            </w:r>
            <w:proofErr w:type="spellEnd"/>
            <w:r w:rsidRPr="008F7547">
              <w:t xml:space="preserve"> Nº20, Pp. 39-60</w:t>
            </w:r>
          </w:p>
          <w:p w14:paraId="6E80E3F1" w14:textId="77777777" w:rsidR="00EB2A61" w:rsidRPr="008F7547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>ANTA, José (2017) “</w:t>
            </w:r>
            <w:proofErr w:type="spellStart"/>
            <w:r w:rsidRPr="008F7547">
              <w:t>Ciberetnografías</w:t>
            </w:r>
            <w:proofErr w:type="spellEnd"/>
            <w:r w:rsidRPr="008F7547">
              <w:t xml:space="preserve">. De la política de lo peor en el mundo del simulacro global” En </w:t>
            </w:r>
            <w:r w:rsidRPr="008F7547">
              <w:rPr>
                <w:i/>
                <w:iCs/>
              </w:rPr>
              <w:t>Revista Latinoamericana de Metodología de la Investigación Social</w:t>
            </w:r>
            <w:r w:rsidRPr="008F7547">
              <w:t xml:space="preserve"> Nº13, Pp. 55-68</w:t>
            </w:r>
          </w:p>
          <w:p w14:paraId="61B58E28" w14:textId="77777777" w:rsidR="00EB2A61" w:rsidRPr="008F7547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>ARCHANJO, Miguel (2019) “</w:t>
            </w:r>
            <w:proofErr w:type="spellStart"/>
            <w:r w:rsidRPr="008F7547">
              <w:t>Questões</w:t>
            </w:r>
            <w:proofErr w:type="spellEnd"/>
            <w:r w:rsidRPr="008F7547">
              <w:t xml:space="preserve"> sobre o método etnográfico: </w:t>
            </w:r>
            <w:proofErr w:type="spellStart"/>
            <w:r w:rsidRPr="008F7547">
              <w:t>um</w:t>
            </w:r>
            <w:proofErr w:type="spellEnd"/>
            <w:r w:rsidRPr="008F7547">
              <w:t xml:space="preserve"> convite para </w:t>
            </w:r>
            <w:proofErr w:type="spellStart"/>
            <w:r w:rsidRPr="008F7547">
              <w:t>reflexões</w:t>
            </w:r>
            <w:proofErr w:type="spellEnd"/>
            <w:r w:rsidRPr="008F7547">
              <w:t xml:space="preserve">” En </w:t>
            </w:r>
            <w:r w:rsidRPr="008F7547">
              <w:rPr>
                <w:i/>
                <w:iCs/>
              </w:rPr>
              <w:t>Revista Latinoamericana de Metodología de la Investigación Social</w:t>
            </w:r>
            <w:r w:rsidRPr="008F7547">
              <w:t xml:space="preserve"> Nº17, Pp. 7-19</w:t>
            </w:r>
          </w:p>
          <w:p w14:paraId="0D1B8D3F" w14:textId="77777777" w:rsidR="00EB2A61" w:rsidRPr="008F7547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CORONA, José (2013) “Etnografía de lo virtual: Experiencias y aprendizajes de una propuesta metodológica para investigar internet” En Revista </w:t>
            </w:r>
            <w:r w:rsidRPr="008F7547">
              <w:rPr>
                <w:i/>
                <w:iCs/>
              </w:rPr>
              <w:t>Razón y palabra</w:t>
            </w:r>
            <w:r w:rsidRPr="008F7547">
              <w:t xml:space="preserve"> Nº82 </w:t>
            </w:r>
          </w:p>
          <w:p w14:paraId="75064EE6" w14:textId="77777777" w:rsidR="00EB2A61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DE BARANDIARÁN, José (1975) “Guía para una encuesta etnográfica” En Revista </w:t>
            </w:r>
            <w:r w:rsidRPr="008F7547">
              <w:rPr>
                <w:i/>
                <w:iCs/>
              </w:rPr>
              <w:t>Cuadernos de etnología y etnografía de Navarra</w:t>
            </w:r>
            <w:r w:rsidRPr="008F7547">
              <w:t xml:space="preserve"> Nº20, Pp. 277-325</w:t>
            </w:r>
          </w:p>
          <w:p w14:paraId="0E0DC36C" w14:textId="77777777" w:rsidR="00EB2A61" w:rsidRPr="008F7547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DONCEL, Juan (2012) “Nuevos retos y formas de la labor etnográfica a partir de la </w:t>
            </w:r>
            <w:proofErr w:type="spellStart"/>
            <w:r w:rsidRPr="008F7547">
              <w:t>reconceptualización</w:t>
            </w:r>
            <w:proofErr w:type="spellEnd"/>
            <w:r w:rsidRPr="008F7547">
              <w:t xml:space="preserve"> del objeto de estudio de la antropología social” En Revista </w:t>
            </w:r>
            <w:r w:rsidRPr="008F7547">
              <w:rPr>
                <w:i/>
                <w:iCs/>
              </w:rPr>
              <w:t>Andamios</w:t>
            </w:r>
            <w:r w:rsidRPr="008F7547">
              <w:t xml:space="preserve"> Nº19, Pp. 11-30 </w:t>
            </w:r>
          </w:p>
          <w:p w14:paraId="410EAF12" w14:textId="77777777" w:rsidR="00EB2A61" w:rsidRPr="008F7547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FERRO, Germán (2011) “Guía de observación etnográfica y valoración cultural: fiestas y semana santa” En Revista </w:t>
            </w:r>
            <w:r w:rsidRPr="008F7547">
              <w:rPr>
                <w:i/>
                <w:iCs/>
              </w:rPr>
              <w:t>Apuntes</w:t>
            </w:r>
            <w:r w:rsidRPr="008F7547">
              <w:t xml:space="preserve"> Nº2, Pp. 222-241 </w:t>
            </w:r>
          </w:p>
          <w:p w14:paraId="6B5F1F27" w14:textId="77777777" w:rsidR="00EB2A61" w:rsidRPr="008F7547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FLORES, Macarena (2012) “La interdisciplinariedad como estrategia de investigación. Etnografía, historia, microhistoria y vida cotidiana” En Revista </w:t>
            </w:r>
            <w:r w:rsidRPr="008F7547">
              <w:rPr>
                <w:i/>
                <w:iCs/>
              </w:rPr>
              <w:t>Andamios</w:t>
            </w:r>
            <w:r w:rsidRPr="008F7547">
              <w:t xml:space="preserve"> Nº19, Pp. 31-47</w:t>
            </w:r>
          </w:p>
          <w:p w14:paraId="3B3AFE4C" w14:textId="77777777" w:rsidR="00EB2A61" w:rsidRPr="008F7547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8F7547">
              <w:rPr>
                <w:lang w:val="en-US"/>
              </w:rPr>
              <w:lastRenderedPageBreak/>
              <w:t xml:space="preserve">FRANCE, Emma </w:t>
            </w:r>
            <w:r w:rsidRPr="008F7547">
              <w:rPr>
                <w:i/>
                <w:iCs/>
                <w:lang w:val="en-US"/>
              </w:rPr>
              <w:t>et al.</w:t>
            </w:r>
            <w:r w:rsidRPr="008F7547">
              <w:rPr>
                <w:lang w:val="en-US"/>
              </w:rPr>
              <w:t xml:space="preserve"> (2019) “Improving reporting of meta-ethnography: The </w:t>
            </w:r>
            <w:proofErr w:type="spellStart"/>
            <w:r w:rsidRPr="008F7547">
              <w:rPr>
                <w:lang w:val="en-US"/>
              </w:rPr>
              <w:t>eMERGe</w:t>
            </w:r>
            <w:proofErr w:type="spellEnd"/>
            <w:r w:rsidRPr="008F7547">
              <w:rPr>
                <w:lang w:val="en-US"/>
              </w:rPr>
              <w:t xml:space="preserve"> reporting guidance” </w:t>
            </w:r>
            <w:proofErr w:type="spellStart"/>
            <w:r w:rsidRPr="008F7547">
              <w:rPr>
                <w:lang w:val="en-US"/>
              </w:rPr>
              <w:t>En</w:t>
            </w:r>
            <w:proofErr w:type="spellEnd"/>
            <w:r w:rsidRPr="008F7547">
              <w:rPr>
                <w:lang w:val="en-US"/>
              </w:rPr>
              <w:t xml:space="preserve"> </w:t>
            </w:r>
            <w:proofErr w:type="spellStart"/>
            <w:r w:rsidRPr="008F7547">
              <w:rPr>
                <w:lang w:val="en-US"/>
              </w:rPr>
              <w:t>Revista</w:t>
            </w:r>
            <w:proofErr w:type="spellEnd"/>
            <w:r w:rsidRPr="008F7547">
              <w:rPr>
                <w:lang w:val="en-US"/>
              </w:rPr>
              <w:t xml:space="preserve"> </w:t>
            </w:r>
            <w:r w:rsidRPr="008F7547">
              <w:rPr>
                <w:i/>
                <w:iCs/>
                <w:lang w:val="en-US"/>
              </w:rPr>
              <w:t>Journal of Advanced Nursing</w:t>
            </w:r>
            <w:r w:rsidRPr="008F7547">
              <w:rPr>
                <w:lang w:val="en-US"/>
              </w:rPr>
              <w:t xml:space="preserve">, Pp. 1-14 </w:t>
            </w:r>
          </w:p>
          <w:p w14:paraId="613A8F6F" w14:textId="77777777" w:rsidR="00EB2A61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GANTER, Rodrigo y BRITO, Alejandra (2017) Cartografías de lo cotidiano: usos, relatos y disposiciones del espacio en el contexto de la industria minera y textil del Gran Concepción (1940 </w:t>
            </w:r>
            <w:r w:rsidRPr="00AE0171">
              <w:t xml:space="preserve">– 1973) En </w:t>
            </w:r>
            <w:r w:rsidRPr="00AE0171">
              <w:rPr>
                <w:i/>
                <w:iCs/>
              </w:rPr>
              <w:t>Revista Austral de Ciencias Sociales</w:t>
            </w:r>
            <w:r w:rsidRPr="00AE0171">
              <w:t xml:space="preserve"> Nº33, Pp. 37-57 </w:t>
            </w:r>
          </w:p>
          <w:p w14:paraId="1E9D8FC2" w14:textId="77777777" w:rsidR="00AE6FD2" w:rsidRPr="00AE6FD2" w:rsidRDefault="00AE6FD2" w:rsidP="00AE6FD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E0171">
              <w:rPr>
                <w:lang w:val="en-US"/>
              </w:rPr>
              <w:t xml:space="preserve">GOFFMAN, Erving (1989) “On fieldwork”, </w:t>
            </w:r>
            <w:r w:rsidRPr="00AE0171">
              <w:rPr>
                <w:i/>
                <w:iCs/>
                <w:lang w:val="en-US"/>
              </w:rPr>
              <w:t>Journal of Contemporary Ethnography</w:t>
            </w:r>
            <w:r w:rsidRPr="00AE0171">
              <w:rPr>
                <w:lang w:val="en-US"/>
              </w:rPr>
              <w:t>, vol. 18, pp. 123-132.</w:t>
            </w:r>
          </w:p>
          <w:p w14:paraId="1DA0D7AD" w14:textId="77777777" w:rsidR="00AE6FD2" w:rsidRPr="00AE0171" w:rsidRDefault="00AE6FD2" w:rsidP="00AE6FD2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GUERSCHMAN, Bárbara (2007) “El cuerpo del investigador como anotador. Reflexiones acerca del uso de la participación con observación en el trabajo de campo.” Runa, Nº 27, pp. 79-96.</w:t>
            </w:r>
          </w:p>
          <w:p w14:paraId="3E7EC54A" w14:textId="77777777" w:rsidR="00EB2A61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AE0171">
              <w:t xml:space="preserve">GUIGOU, Nicolás (2006) “Diseño de la etnografía y etnografía del diseño” En </w:t>
            </w:r>
            <w:r w:rsidRPr="00AE0171">
              <w:rPr>
                <w:i/>
                <w:iCs/>
              </w:rPr>
              <w:t>Revista de Antropología Experimental</w:t>
            </w:r>
            <w:r w:rsidRPr="00AE0171">
              <w:t xml:space="preserve"> Nº6, Pp. 201- 205</w:t>
            </w:r>
          </w:p>
          <w:p w14:paraId="20637FA0" w14:textId="77777777" w:rsidR="00AE6FD2" w:rsidRPr="00AE0171" w:rsidRDefault="00AE6FD2" w:rsidP="00AE6FD2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INGOLD, Tim (2017) “¡Suficiente con la etnografía!” En </w:t>
            </w:r>
            <w:r w:rsidRPr="008F7547">
              <w:rPr>
                <w:i/>
                <w:iCs/>
              </w:rPr>
              <w:t>Revista Colombiana de Antropología</w:t>
            </w:r>
            <w:r w:rsidRPr="008F7547">
              <w:t xml:space="preserve"> Nº2, Pp. 143- 159</w:t>
            </w:r>
          </w:p>
          <w:p w14:paraId="2423EB81" w14:textId="77777777" w:rsidR="00EB2A61" w:rsidRPr="008F7547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AE0171">
              <w:t>ISLAS, Damián</w:t>
            </w:r>
            <w:r w:rsidRPr="008F7547">
              <w:t xml:space="preserve"> (2016) “La distinción metodológica entre el lenguaje teórico y el lenguaje observacional: un análisis epistemológico” En Revista </w:t>
            </w:r>
            <w:r w:rsidRPr="008F7547">
              <w:rPr>
                <w:i/>
                <w:iCs/>
              </w:rPr>
              <w:t>Andamios</w:t>
            </w:r>
            <w:r w:rsidRPr="008F7547">
              <w:t xml:space="preserve"> Nº31, Pp. 37-59</w:t>
            </w:r>
          </w:p>
          <w:p w14:paraId="110E6731" w14:textId="77777777" w:rsidR="00EB2A61" w:rsidRPr="008F7547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>JAVIER, Alberto (2020) “</w:t>
            </w:r>
            <w:proofErr w:type="spellStart"/>
            <w:r w:rsidRPr="008F7547">
              <w:t>Goffman</w:t>
            </w:r>
            <w:proofErr w:type="spellEnd"/>
            <w:r w:rsidRPr="008F7547">
              <w:t xml:space="preserve"> y las situaciones sociales: algunas enseñanzas teóricas- metodológicas” En </w:t>
            </w:r>
            <w:r w:rsidRPr="008F7547">
              <w:rPr>
                <w:i/>
                <w:iCs/>
              </w:rPr>
              <w:t>Revista Española de Sociología</w:t>
            </w:r>
            <w:r w:rsidRPr="008F7547">
              <w:t xml:space="preserve"> Nº29, Pp. 285-300 </w:t>
            </w:r>
          </w:p>
          <w:p w14:paraId="70998689" w14:textId="77777777" w:rsidR="00EB2A61" w:rsidRPr="008F7547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KATZER, Leticia y SAMPRÓN, Agustín (2011) “El trabajo de campo como proceso. La “etnografía colaborativa” como perspectiva analítica” En </w:t>
            </w:r>
            <w:r w:rsidRPr="008F7547">
              <w:rPr>
                <w:i/>
                <w:iCs/>
              </w:rPr>
              <w:t>Revista Latinoamericana de Metodología de la Investigación Social</w:t>
            </w:r>
            <w:r w:rsidRPr="008F7547">
              <w:t xml:space="preserve"> Nº2, Pp. 59-70 </w:t>
            </w:r>
          </w:p>
          <w:p w14:paraId="4CCB1767" w14:textId="77777777" w:rsidR="00EB2A61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MARXEN, Eva (2009) “La etnografía desde el arte. Definiciones, bases teóricas y nuevos escenarios” En Revista </w:t>
            </w:r>
            <w:r w:rsidRPr="008F7547">
              <w:rPr>
                <w:i/>
                <w:iCs/>
              </w:rPr>
              <w:t>Alteridades</w:t>
            </w:r>
            <w:r w:rsidRPr="008F7547">
              <w:t xml:space="preserve"> Nº37, Pp. 7-22</w:t>
            </w:r>
          </w:p>
          <w:p w14:paraId="264D97F8" w14:textId="77777777" w:rsidR="00AE6FD2" w:rsidRDefault="00AE6FD2" w:rsidP="00AE6FD2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NAVARRO, Alejandra (2007) Notas de campo: El registro y la organización de la información recogida mediante observaciones. En Documentos de cátedra 40. Buenos Aires: Universidad de Buenos Aires.</w:t>
            </w:r>
          </w:p>
          <w:p w14:paraId="09CBDEDD" w14:textId="77777777" w:rsidR="00AE6FD2" w:rsidRPr="008F7547" w:rsidRDefault="00AE6FD2" w:rsidP="00AE6FD2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PIZARRO, Cynthia (2014) “La entrevista etnográfica como práctica discursiva: análisis de caso sobre las pistas meta-discursivas y la emergencia de categorías nativas” En </w:t>
            </w:r>
            <w:r w:rsidRPr="008F7547">
              <w:rPr>
                <w:i/>
                <w:iCs/>
              </w:rPr>
              <w:t xml:space="preserve">Revista de Antropología </w:t>
            </w:r>
            <w:r w:rsidRPr="008F7547">
              <w:t>Nº1, Pp. 461-496</w:t>
            </w:r>
            <w:r>
              <w:t>.</w:t>
            </w:r>
          </w:p>
          <w:p w14:paraId="6D31689F" w14:textId="77777777" w:rsidR="00EB2A61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POBLETE, Sergio (1999) “La descripción etnográfica. De la representación a la ficción” En Revista </w:t>
            </w:r>
            <w:r w:rsidRPr="008F7547">
              <w:rPr>
                <w:i/>
                <w:iCs/>
              </w:rPr>
              <w:t xml:space="preserve">Cinta de </w:t>
            </w:r>
            <w:proofErr w:type="spellStart"/>
            <w:r w:rsidRPr="008F7547">
              <w:rPr>
                <w:i/>
                <w:iCs/>
              </w:rPr>
              <w:t>Moebio</w:t>
            </w:r>
            <w:proofErr w:type="spellEnd"/>
            <w:r w:rsidRPr="008F7547">
              <w:t xml:space="preserve"> Nº6, Pp. 212-248</w:t>
            </w:r>
          </w:p>
          <w:p w14:paraId="1B879FA3" w14:textId="77777777" w:rsidR="00AE6FD2" w:rsidRPr="008F7547" w:rsidRDefault="00AE6FD2" w:rsidP="00AE6FD2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PUGLISI, Rodolfo (2019) “Etnografía y participación corporal. Contribuciones metodológicas para el trabajo de campo” En </w:t>
            </w:r>
            <w:r w:rsidRPr="008F7547">
              <w:rPr>
                <w:i/>
                <w:iCs/>
              </w:rPr>
              <w:t>Revista Latinoamericana de Metodología de la Investigación Social</w:t>
            </w:r>
            <w:r w:rsidRPr="008F7547">
              <w:t xml:space="preserve"> Nº9, Pp. 20-35</w:t>
            </w:r>
          </w:p>
          <w:p w14:paraId="3D03FE11" w14:textId="77777777" w:rsidR="00EB2A61" w:rsidRPr="008F7547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ROSEMBERG, Florence (2019) “La etnografía en tiempos de violencia” En Revista </w:t>
            </w:r>
            <w:r w:rsidRPr="008F7547">
              <w:rPr>
                <w:i/>
                <w:iCs/>
              </w:rPr>
              <w:t xml:space="preserve">Cuicuilco </w:t>
            </w:r>
            <w:r w:rsidRPr="008F7547">
              <w:t>Nº76, Pp. 153-174</w:t>
            </w:r>
          </w:p>
          <w:p w14:paraId="5D36A173" w14:textId="77777777" w:rsidR="00EB2A61" w:rsidRPr="008F7547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SAN ROMÁN, Teresa (2009) “Sobre la investigación etnográfica” En </w:t>
            </w:r>
            <w:r w:rsidRPr="008F7547">
              <w:rPr>
                <w:i/>
                <w:iCs/>
              </w:rPr>
              <w:t>Revista de Antropología Social</w:t>
            </w:r>
            <w:r w:rsidRPr="008F7547">
              <w:t xml:space="preserve"> Nº18, Pp. 235-260 </w:t>
            </w:r>
          </w:p>
          <w:p w14:paraId="13DC995D" w14:textId="77777777" w:rsidR="00EB2A61" w:rsidRDefault="00EB2A61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SUPERVIELLE, Marcos y ROBERTT, Pedro (2013) “Observación etnográfica en un contexto industrial. Aplicación práctica de algunos principios de investigación” En </w:t>
            </w:r>
            <w:r w:rsidRPr="008F7547">
              <w:rPr>
                <w:i/>
                <w:iCs/>
              </w:rPr>
              <w:t>Revista Latinoamericana de Metodología de la Investigación Social</w:t>
            </w:r>
            <w:r w:rsidRPr="008F7547">
              <w:t xml:space="preserve"> Nº5, Pp. 69-78</w:t>
            </w:r>
          </w:p>
          <w:p w14:paraId="10F43D6F" w14:textId="77777777" w:rsidR="00AE6FD2" w:rsidRDefault="00AE6FD2" w:rsidP="00AE6FD2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TAYLOR, </w:t>
            </w:r>
            <w:proofErr w:type="spellStart"/>
            <w:r w:rsidRPr="008F7547">
              <w:t>Anne</w:t>
            </w:r>
            <w:proofErr w:type="spellEnd"/>
            <w:r w:rsidRPr="008F7547">
              <w:t xml:space="preserve"> (2018) “¿Cómo simetrizar la etnografía de lo íntimo” En Revista </w:t>
            </w:r>
            <w:proofErr w:type="spellStart"/>
            <w:r w:rsidRPr="008F7547">
              <w:rPr>
                <w:i/>
                <w:iCs/>
              </w:rPr>
              <w:t>Avá</w:t>
            </w:r>
            <w:proofErr w:type="spellEnd"/>
            <w:r w:rsidRPr="008F7547">
              <w:rPr>
                <w:i/>
                <w:iCs/>
              </w:rPr>
              <w:t xml:space="preserve"> </w:t>
            </w:r>
            <w:r w:rsidRPr="008F7547">
              <w:t>Nº32</w:t>
            </w:r>
          </w:p>
          <w:p w14:paraId="04E58B18" w14:textId="77777777" w:rsidR="00540A11" w:rsidRDefault="000D60F5" w:rsidP="00EB2A61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WACQUANT, </w:t>
            </w:r>
            <w:proofErr w:type="spellStart"/>
            <w:r>
              <w:t>Loïc</w:t>
            </w:r>
            <w:proofErr w:type="spellEnd"/>
            <w:r>
              <w:t xml:space="preserve"> (2006) </w:t>
            </w:r>
            <w:r w:rsidRPr="000D60F5">
              <w:t>Entre las cuerdas. Cuadernos de un aprendiz de boxeador</w:t>
            </w:r>
            <w:r>
              <w:t>. Buenos Aires: Siglo xxi.</w:t>
            </w:r>
          </w:p>
          <w:p w14:paraId="7515BAEF" w14:textId="77777777" w:rsidR="00AE6FD2" w:rsidRPr="00AE6FD2" w:rsidRDefault="00AE6FD2" w:rsidP="00AE6FD2">
            <w:pPr>
              <w:pStyle w:val="Prrafodelista"/>
              <w:numPr>
                <w:ilvl w:val="0"/>
                <w:numId w:val="4"/>
              </w:numPr>
              <w:jc w:val="both"/>
            </w:pPr>
            <w:r w:rsidRPr="008F7547">
              <w:t xml:space="preserve">WOLCOTT, Harry (2007) “Etnografía sin remordimientos” En </w:t>
            </w:r>
            <w:r w:rsidRPr="008F7547">
              <w:rPr>
                <w:i/>
                <w:iCs/>
              </w:rPr>
              <w:t>Revista de Antropología Social</w:t>
            </w:r>
            <w:r w:rsidRPr="008F7547">
              <w:t xml:space="preserve"> Nº16, Pp. 279-296</w:t>
            </w:r>
          </w:p>
        </w:tc>
      </w:tr>
      <w:tr w:rsidR="00540A11" w14:paraId="2CE22773" w14:textId="77777777">
        <w:tc>
          <w:tcPr>
            <w:tcW w:w="9620" w:type="dxa"/>
            <w:shd w:val="clear" w:color="auto" w:fill="DEEBF6"/>
          </w:tcPr>
          <w:p w14:paraId="75933EEE" w14:textId="77777777" w:rsidR="00540A11" w:rsidRDefault="004975D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Recursos</w:t>
            </w:r>
          </w:p>
        </w:tc>
      </w:tr>
      <w:tr w:rsidR="00540A11" w14:paraId="365B63CD" w14:textId="77777777">
        <w:tc>
          <w:tcPr>
            <w:tcW w:w="9620" w:type="dxa"/>
            <w:shd w:val="clear" w:color="auto" w:fill="auto"/>
          </w:tcPr>
          <w:p w14:paraId="7B102B55" w14:textId="77777777" w:rsidR="00540A11" w:rsidRDefault="00540A1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6B107621" w14:textId="77777777" w:rsidR="00540A11" w:rsidRDefault="00540A11">
      <w:pPr>
        <w:spacing w:after="0" w:line="276" w:lineRule="auto"/>
        <w:rPr>
          <w:b/>
          <w:sz w:val="24"/>
          <w:szCs w:val="24"/>
        </w:rPr>
      </w:pPr>
    </w:p>
    <w:sectPr w:rsidR="00540A11">
      <w:headerReference w:type="default" r:id="rId8"/>
      <w:pgSz w:w="12240" w:h="15840"/>
      <w:pgMar w:top="851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D7629" w14:textId="77777777" w:rsidR="00910B78" w:rsidRDefault="00910B78">
      <w:pPr>
        <w:spacing w:after="0" w:line="240" w:lineRule="auto"/>
      </w:pPr>
      <w:r>
        <w:separator/>
      </w:r>
    </w:p>
  </w:endnote>
  <w:endnote w:type="continuationSeparator" w:id="0">
    <w:p w14:paraId="65732608" w14:textId="77777777" w:rsidR="00910B78" w:rsidRDefault="0091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D002B" w14:textId="77777777" w:rsidR="00910B78" w:rsidRDefault="00910B78">
      <w:pPr>
        <w:spacing w:after="0" w:line="240" w:lineRule="auto"/>
      </w:pPr>
      <w:r>
        <w:separator/>
      </w:r>
    </w:p>
  </w:footnote>
  <w:footnote w:type="continuationSeparator" w:id="0">
    <w:p w14:paraId="76895BEE" w14:textId="77777777" w:rsidR="00910B78" w:rsidRDefault="0091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AC2F" w14:textId="77777777" w:rsidR="00540A11" w:rsidRDefault="004975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CL" w:eastAsia="es-CL"/>
      </w:rPr>
      <w:drawing>
        <wp:inline distT="0" distB="0" distL="0" distR="0" wp14:anchorId="1DF12802" wp14:editId="47988A86">
          <wp:extent cx="5949091" cy="95185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9091" cy="951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C04C29" w14:textId="77777777" w:rsidR="00540A11" w:rsidRDefault="00540A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4D5E"/>
    <w:multiLevelType w:val="hybridMultilevel"/>
    <w:tmpl w:val="CEA2B9CA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1471FD"/>
    <w:multiLevelType w:val="hybridMultilevel"/>
    <w:tmpl w:val="8AF2FF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3D7D"/>
    <w:multiLevelType w:val="hybridMultilevel"/>
    <w:tmpl w:val="52ECAF36"/>
    <w:lvl w:ilvl="0" w:tplc="2138D6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8265D"/>
    <w:multiLevelType w:val="hybridMultilevel"/>
    <w:tmpl w:val="1076C1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21654"/>
    <w:multiLevelType w:val="multilevel"/>
    <w:tmpl w:val="8BDC01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03F1"/>
    <w:multiLevelType w:val="multilevel"/>
    <w:tmpl w:val="AF1E84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6B455FD"/>
    <w:multiLevelType w:val="hybridMultilevel"/>
    <w:tmpl w:val="20A6CEF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E7BB5"/>
    <w:multiLevelType w:val="hybridMultilevel"/>
    <w:tmpl w:val="28D4B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A5D71"/>
    <w:multiLevelType w:val="hybridMultilevel"/>
    <w:tmpl w:val="FB58FBB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2115F4"/>
    <w:multiLevelType w:val="multilevel"/>
    <w:tmpl w:val="D7BE27C8"/>
    <w:lvl w:ilvl="0">
      <w:start w:val="1"/>
      <w:numFmt w:val="bullet"/>
      <w:lvlText w:val="●"/>
      <w:lvlJc w:val="left"/>
      <w:pPr>
        <w:ind w:left="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11"/>
    <w:rsid w:val="000100BA"/>
    <w:rsid w:val="00083FC7"/>
    <w:rsid w:val="000C1798"/>
    <w:rsid w:val="000D60F5"/>
    <w:rsid w:val="001050FF"/>
    <w:rsid w:val="0011411F"/>
    <w:rsid w:val="00165EDE"/>
    <w:rsid w:val="001666FE"/>
    <w:rsid w:val="001C1A86"/>
    <w:rsid w:val="00233250"/>
    <w:rsid w:val="00291656"/>
    <w:rsid w:val="002A325A"/>
    <w:rsid w:val="002B5E1F"/>
    <w:rsid w:val="002F78A0"/>
    <w:rsid w:val="00366C76"/>
    <w:rsid w:val="003A619A"/>
    <w:rsid w:val="003C75AF"/>
    <w:rsid w:val="003D18FE"/>
    <w:rsid w:val="00483B1E"/>
    <w:rsid w:val="004975D3"/>
    <w:rsid w:val="004B7D5B"/>
    <w:rsid w:val="004C26E7"/>
    <w:rsid w:val="004F19A8"/>
    <w:rsid w:val="004F4671"/>
    <w:rsid w:val="00532478"/>
    <w:rsid w:val="00540A11"/>
    <w:rsid w:val="0056321C"/>
    <w:rsid w:val="00672BB6"/>
    <w:rsid w:val="00750294"/>
    <w:rsid w:val="00777EA9"/>
    <w:rsid w:val="007A4E30"/>
    <w:rsid w:val="008140D7"/>
    <w:rsid w:val="00831905"/>
    <w:rsid w:val="00832361"/>
    <w:rsid w:val="008A50D1"/>
    <w:rsid w:val="008E6E68"/>
    <w:rsid w:val="00907F95"/>
    <w:rsid w:val="00910B78"/>
    <w:rsid w:val="009650C7"/>
    <w:rsid w:val="00994219"/>
    <w:rsid w:val="009A5A6D"/>
    <w:rsid w:val="009B6FF9"/>
    <w:rsid w:val="009D7358"/>
    <w:rsid w:val="009E5873"/>
    <w:rsid w:val="00AA4035"/>
    <w:rsid w:val="00AA6C60"/>
    <w:rsid w:val="00AB0257"/>
    <w:rsid w:val="00AC1B70"/>
    <w:rsid w:val="00AE0171"/>
    <w:rsid w:val="00AE6FD2"/>
    <w:rsid w:val="00B455A3"/>
    <w:rsid w:val="00BF7AEB"/>
    <w:rsid w:val="00C15516"/>
    <w:rsid w:val="00C20FB4"/>
    <w:rsid w:val="00C31823"/>
    <w:rsid w:val="00C46EF8"/>
    <w:rsid w:val="00C54225"/>
    <w:rsid w:val="00D0613B"/>
    <w:rsid w:val="00D74124"/>
    <w:rsid w:val="00DF624B"/>
    <w:rsid w:val="00E15B73"/>
    <w:rsid w:val="00E85349"/>
    <w:rsid w:val="00E938DF"/>
    <w:rsid w:val="00EB2A61"/>
    <w:rsid w:val="00ED47D0"/>
    <w:rsid w:val="00ED5823"/>
    <w:rsid w:val="00EE75C2"/>
    <w:rsid w:val="00F2016B"/>
    <w:rsid w:val="00F66079"/>
    <w:rsid w:val="00F85B90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B450"/>
  <w15:docId w15:val="{6C86283C-A957-49C4-983E-CBE531CC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1798"/>
    <w:pPr>
      <w:ind w:left="720"/>
      <w:contextualSpacing/>
    </w:pPr>
  </w:style>
  <w:style w:type="paragraph" w:styleId="Sinespaciado">
    <w:name w:val="No Spacing"/>
    <w:uiPriority w:val="1"/>
    <w:qFormat/>
    <w:rsid w:val="009D735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E6E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E6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E6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E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E6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2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99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3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4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0E84833A-0026-41B2-90AE-AD97CB2A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1839</Words>
  <Characters>10170</Characters>
  <Application>Microsoft Office Word</Application>
  <DocSecurity>0</DocSecurity>
  <Lines>161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26</cp:revision>
  <dcterms:created xsi:type="dcterms:W3CDTF">2020-07-28T22:06:00Z</dcterms:created>
  <dcterms:modified xsi:type="dcterms:W3CDTF">2020-08-06T19:28:00Z</dcterms:modified>
</cp:coreProperties>
</file>