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04E9" w14:textId="5E197574" w:rsidR="00602CEA" w:rsidRDefault="006179C4">
      <w:pPr>
        <w:pStyle w:val="Normal1"/>
        <w:spacing w:after="0" w:line="276" w:lineRule="auto"/>
        <w:jc w:val="center"/>
        <w:rPr>
          <w:b/>
          <w:sz w:val="24"/>
          <w:szCs w:val="24"/>
        </w:rPr>
      </w:pPr>
      <w:bookmarkStart w:id="0" w:name="_gjdgxs" w:colFirst="0" w:colLast="0"/>
      <w:bookmarkEnd w:id="0"/>
      <w:r>
        <w:rPr>
          <w:b/>
          <w:sz w:val="24"/>
          <w:szCs w:val="24"/>
        </w:rPr>
        <w:t>PROGRAMA DE ACTIVIDAD CURRICULAR</w:t>
      </w:r>
    </w:p>
    <w:p w14:paraId="59ED83B3" w14:textId="77777777" w:rsidR="006E7E5C" w:rsidRDefault="006E7E5C">
      <w:pPr>
        <w:pStyle w:val="Normal1"/>
        <w:spacing w:after="0" w:line="276" w:lineRule="auto"/>
        <w:jc w:val="center"/>
        <w:rPr>
          <w:b/>
          <w:sz w:val="24"/>
          <w:szCs w:val="24"/>
        </w:rPr>
      </w:pPr>
    </w:p>
    <w:p w14:paraId="4FCB4CDD" w14:textId="77777777" w:rsidR="00602CEA" w:rsidRDefault="006179C4">
      <w:pPr>
        <w:pStyle w:val="Normal1"/>
        <w:numPr>
          <w:ilvl w:val="0"/>
          <w:numId w:val="1"/>
        </w:numPr>
        <w:pBdr>
          <w:top w:val="nil"/>
          <w:left w:val="nil"/>
          <w:bottom w:val="nil"/>
          <w:right w:val="nil"/>
          <w:between w:val="nil"/>
        </w:pBdr>
        <w:spacing w:after="0" w:line="276" w:lineRule="auto"/>
        <w:contextualSpacing/>
        <w:rPr>
          <w:b/>
          <w:color w:val="000000"/>
          <w:sz w:val="24"/>
          <w:szCs w:val="24"/>
        </w:rPr>
      </w:pPr>
      <w:r>
        <w:rPr>
          <w:b/>
          <w:color w:val="000000"/>
          <w:sz w:val="24"/>
          <w:szCs w:val="24"/>
        </w:rPr>
        <w:t>Identificación de la actividad curricular</w:t>
      </w:r>
    </w:p>
    <w:tbl>
      <w:tblPr>
        <w:tblStyle w:val="a"/>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63"/>
        <w:gridCol w:w="1982"/>
        <w:gridCol w:w="1843"/>
        <w:gridCol w:w="3132"/>
      </w:tblGrid>
      <w:tr w:rsidR="00602CEA" w:rsidRPr="00C16C6C" w14:paraId="4D8A3DB9" w14:textId="77777777">
        <w:tc>
          <w:tcPr>
            <w:tcW w:w="2663" w:type="dxa"/>
            <w:shd w:val="clear" w:color="auto" w:fill="DEEBF6"/>
          </w:tcPr>
          <w:p w14:paraId="45509B9E" w14:textId="77777777" w:rsidR="00602CEA" w:rsidRPr="00C16C6C" w:rsidRDefault="006179C4">
            <w:pPr>
              <w:pStyle w:val="Normal1"/>
              <w:spacing w:line="276" w:lineRule="auto"/>
              <w:rPr>
                <w:sz w:val="22"/>
                <w:szCs w:val="22"/>
              </w:rPr>
            </w:pPr>
            <w:r w:rsidRPr="00C16C6C">
              <w:rPr>
                <w:sz w:val="22"/>
                <w:szCs w:val="22"/>
              </w:rPr>
              <w:t>Nombre del Programa</w:t>
            </w:r>
          </w:p>
        </w:tc>
        <w:tc>
          <w:tcPr>
            <w:tcW w:w="1982" w:type="dxa"/>
          </w:tcPr>
          <w:p w14:paraId="406ED45D" w14:textId="77777777" w:rsidR="00602CEA" w:rsidRPr="00C16C6C" w:rsidRDefault="000661C2" w:rsidP="009F6B56">
            <w:pPr>
              <w:pStyle w:val="Normal1"/>
              <w:spacing w:line="276" w:lineRule="auto"/>
              <w:rPr>
                <w:sz w:val="22"/>
                <w:szCs w:val="22"/>
              </w:rPr>
            </w:pPr>
            <w:r w:rsidRPr="00C16C6C">
              <w:rPr>
                <w:sz w:val="22"/>
                <w:szCs w:val="22"/>
              </w:rPr>
              <w:t>Doctorado en Comunicación</w:t>
            </w:r>
          </w:p>
        </w:tc>
        <w:tc>
          <w:tcPr>
            <w:tcW w:w="1843" w:type="dxa"/>
            <w:shd w:val="clear" w:color="auto" w:fill="DEEBF6"/>
          </w:tcPr>
          <w:p w14:paraId="76D5D710" w14:textId="23229EA5" w:rsidR="00602CEA" w:rsidRPr="00C16C6C" w:rsidRDefault="006179C4" w:rsidP="00A442DD">
            <w:pPr>
              <w:pStyle w:val="Normal1"/>
              <w:spacing w:line="276" w:lineRule="auto"/>
              <w:rPr>
                <w:sz w:val="22"/>
                <w:szCs w:val="22"/>
              </w:rPr>
            </w:pPr>
            <w:r w:rsidRPr="00C16C6C">
              <w:rPr>
                <w:sz w:val="22"/>
                <w:szCs w:val="22"/>
              </w:rPr>
              <w:t>Duración</w:t>
            </w:r>
            <w:r w:rsidR="00A442DD" w:rsidRPr="00C16C6C">
              <w:rPr>
                <w:sz w:val="22"/>
                <w:szCs w:val="22"/>
              </w:rPr>
              <w:t xml:space="preserve"> </w:t>
            </w:r>
            <w:r w:rsidRPr="00C16C6C">
              <w:rPr>
                <w:sz w:val="22"/>
                <w:szCs w:val="22"/>
              </w:rPr>
              <w:t>(semanas)</w:t>
            </w:r>
          </w:p>
        </w:tc>
        <w:tc>
          <w:tcPr>
            <w:tcW w:w="3132" w:type="dxa"/>
          </w:tcPr>
          <w:p w14:paraId="04A87481" w14:textId="47CB4AD4" w:rsidR="00602CEA" w:rsidRPr="00C16C6C" w:rsidRDefault="00851783" w:rsidP="00DB2DD3">
            <w:pPr>
              <w:pStyle w:val="Normal1"/>
              <w:spacing w:line="276" w:lineRule="auto"/>
              <w:rPr>
                <w:sz w:val="22"/>
                <w:szCs w:val="22"/>
              </w:rPr>
            </w:pPr>
            <w:r>
              <w:rPr>
                <w:sz w:val="22"/>
                <w:szCs w:val="22"/>
              </w:rPr>
              <w:t>4</w:t>
            </w:r>
            <w:r w:rsidR="00DB2DD3">
              <w:rPr>
                <w:sz w:val="22"/>
                <w:szCs w:val="22"/>
              </w:rPr>
              <w:t xml:space="preserve"> semana</w:t>
            </w:r>
          </w:p>
        </w:tc>
      </w:tr>
      <w:tr w:rsidR="00602CEA" w:rsidRPr="00C16C6C" w14:paraId="00E2C9E8" w14:textId="77777777">
        <w:tc>
          <w:tcPr>
            <w:tcW w:w="2663" w:type="dxa"/>
            <w:shd w:val="clear" w:color="auto" w:fill="DEEBF6"/>
          </w:tcPr>
          <w:p w14:paraId="4FF29CC6" w14:textId="77777777" w:rsidR="00602CEA" w:rsidRPr="00C16C6C" w:rsidRDefault="006179C4">
            <w:pPr>
              <w:pStyle w:val="Normal1"/>
              <w:spacing w:line="276" w:lineRule="auto"/>
              <w:rPr>
                <w:sz w:val="22"/>
                <w:szCs w:val="22"/>
              </w:rPr>
            </w:pPr>
            <w:r w:rsidRPr="00C16C6C">
              <w:rPr>
                <w:sz w:val="22"/>
                <w:szCs w:val="22"/>
              </w:rPr>
              <w:t>Nombre actividad curricular</w:t>
            </w:r>
          </w:p>
          <w:p w14:paraId="4B6EB946" w14:textId="378C73B6" w:rsidR="00C16C6C" w:rsidRPr="00C16C6C" w:rsidRDefault="00C16C6C">
            <w:pPr>
              <w:pStyle w:val="Normal1"/>
              <w:spacing w:line="276" w:lineRule="auto"/>
              <w:rPr>
                <w:sz w:val="22"/>
                <w:szCs w:val="22"/>
              </w:rPr>
            </w:pPr>
            <w:r w:rsidRPr="00C16C6C">
              <w:rPr>
                <w:sz w:val="22"/>
                <w:szCs w:val="22"/>
              </w:rPr>
              <w:t>Código</w:t>
            </w:r>
          </w:p>
        </w:tc>
        <w:tc>
          <w:tcPr>
            <w:tcW w:w="1982" w:type="dxa"/>
          </w:tcPr>
          <w:p w14:paraId="336BCE5B" w14:textId="77777777" w:rsidR="00C16C6C" w:rsidRDefault="00B22BD6" w:rsidP="009F6B56">
            <w:pPr>
              <w:pStyle w:val="Normal1"/>
              <w:spacing w:line="276" w:lineRule="auto"/>
              <w:rPr>
                <w:sz w:val="22"/>
                <w:szCs w:val="22"/>
                <w:lang w:val="es-ES_tradnl"/>
              </w:rPr>
            </w:pPr>
            <w:r w:rsidRPr="00B22BD6">
              <w:rPr>
                <w:sz w:val="22"/>
                <w:szCs w:val="22"/>
                <w:lang w:val="es-ES_tradnl"/>
              </w:rPr>
              <w:t xml:space="preserve">Análisis de contenido y </w:t>
            </w:r>
            <w:proofErr w:type="spellStart"/>
            <w:r w:rsidRPr="00E02C10">
              <w:rPr>
                <w:i/>
                <w:iCs/>
                <w:sz w:val="22"/>
                <w:szCs w:val="22"/>
                <w:lang w:val="es-ES_tradnl"/>
              </w:rPr>
              <w:t>framing</w:t>
            </w:r>
            <w:proofErr w:type="spellEnd"/>
            <w:r w:rsidRPr="00B22BD6">
              <w:rPr>
                <w:sz w:val="22"/>
                <w:szCs w:val="22"/>
                <w:lang w:val="es-ES_tradnl"/>
              </w:rPr>
              <w:t xml:space="preserve"> de noticias</w:t>
            </w:r>
          </w:p>
          <w:p w14:paraId="71C68ED0" w14:textId="0F7F3312" w:rsidR="00812C2B" w:rsidRPr="00812C2B" w:rsidRDefault="00812C2B" w:rsidP="009F6B56">
            <w:pPr>
              <w:pStyle w:val="Normal1"/>
              <w:spacing w:line="276" w:lineRule="auto"/>
              <w:rPr>
                <w:sz w:val="22"/>
                <w:szCs w:val="22"/>
                <w:lang w:val="es-CL"/>
              </w:rPr>
            </w:pPr>
            <w:r w:rsidRPr="00812C2B">
              <w:rPr>
                <w:b/>
                <w:bCs/>
                <w:sz w:val="22"/>
                <w:szCs w:val="22"/>
                <w:lang w:val="es-CL"/>
              </w:rPr>
              <w:t>DEC117</w:t>
            </w:r>
          </w:p>
        </w:tc>
        <w:tc>
          <w:tcPr>
            <w:tcW w:w="1843" w:type="dxa"/>
            <w:shd w:val="clear" w:color="auto" w:fill="DEEBF6"/>
          </w:tcPr>
          <w:p w14:paraId="6961C057" w14:textId="77777777" w:rsidR="00602CEA" w:rsidRPr="00C16C6C" w:rsidRDefault="006179C4">
            <w:pPr>
              <w:pStyle w:val="Normal1"/>
              <w:spacing w:line="276" w:lineRule="auto"/>
              <w:rPr>
                <w:sz w:val="22"/>
                <w:szCs w:val="22"/>
              </w:rPr>
            </w:pPr>
            <w:r w:rsidRPr="00C16C6C">
              <w:rPr>
                <w:sz w:val="22"/>
                <w:szCs w:val="22"/>
              </w:rPr>
              <w:t>Horas totales y semanales</w:t>
            </w:r>
          </w:p>
        </w:tc>
        <w:tc>
          <w:tcPr>
            <w:tcW w:w="3132" w:type="dxa"/>
          </w:tcPr>
          <w:p w14:paraId="6ABD913A" w14:textId="77777777" w:rsidR="00D26D6A" w:rsidRPr="00D26D6A" w:rsidRDefault="00D26D6A" w:rsidP="00D26D6A">
            <w:pPr>
              <w:pStyle w:val="Normal1"/>
              <w:spacing w:line="276" w:lineRule="auto"/>
              <w:rPr>
                <w:sz w:val="22"/>
                <w:szCs w:val="22"/>
              </w:rPr>
            </w:pPr>
            <w:r w:rsidRPr="00D26D6A">
              <w:rPr>
                <w:sz w:val="22"/>
                <w:szCs w:val="22"/>
              </w:rPr>
              <w:t>Intra-aula teórica semanal:  6</w:t>
            </w:r>
          </w:p>
          <w:p w14:paraId="05794D31" w14:textId="77777777" w:rsidR="00D26D6A" w:rsidRPr="00D26D6A" w:rsidRDefault="00D26D6A" w:rsidP="00D26D6A">
            <w:pPr>
              <w:pStyle w:val="Normal1"/>
              <w:spacing w:line="276" w:lineRule="auto"/>
              <w:rPr>
                <w:sz w:val="22"/>
                <w:szCs w:val="22"/>
              </w:rPr>
            </w:pPr>
            <w:r w:rsidRPr="00D26D6A">
              <w:rPr>
                <w:sz w:val="22"/>
                <w:szCs w:val="22"/>
              </w:rPr>
              <w:t xml:space="preserve">Intra-aula práctica semanal: 4 </w:t>
            </w:r>
          </w:p>
          <w:p w14:paraId="3A3CF0C4" w14:textId="77777777" w:rsidR="00D26D6A" w:rsidRPr="00D26D6A" w:rsidRDefault="00D26D6A" w:rsidP="00D26D6A">
            <w:pPr>
              <w:pStyle w:val="Normal1"/>
              <w:spacing w:line="276" w:lineRule="auto"/>
              <w:rPr>
                <w:sz w:val="22"/>
                <w:szCs w:val="22"/>
              </w:rPr>
            </w:pPr>
            <w:r w:rsidRPr="00D26D6A">
              <w:rPr>
                <w:sz w:val="22"/>
                <w:szCs w:val="22"/>
              </w:rPr>
              <w:t>Extra-aula semanal: 30</w:t>
            </w:r>
          </w:p>
          <w:p w14:paraId="01D89FB8" w14:textId="77777777" w:rsidR="00D26D6A" w:rsidRPr="00D26D6A" w:rsidRDefault="00D26D6A" w:rsidP="00D26D6A">
            <w:pPr>
              <w:pStyle w:val="Normal1"/>
              <w:spacing w:line="276" w:lineRule="auto"/>
              <w:rPr>
                <w:sz w:val="22"/>
                <w:szCs w:val="22"/>
              </w:rPr>
            </w:pPr>
            <w:r w:rsidRPr="00D26D6A">
              <w:rPr>
                <w:sz w:val="22"/>
                <w:szCs w:val="22"/>
              </w:rPr>
              <w:t>Intra-aula total: 40</w:t>
            </w:r>
          </w:p>
          <w:p w14:paraId="60E30925" w14:textId="6E740D23" w:rsidR="00602CEA" w:rsidRPr="00C16C6C" w:rsidRDefault="00D26D6A" w:rsidP="00D26D6A">
            <w:pPr>
              <w:pStyle w:val="Normal1"/>
              <w:spacing w:line="276" w:lineRule="auto"/>
              <w:rPr>
                <w:sz w:val="22"/>
                <w:szCs w:val="22"/>
              </w:rPr>
            </w:pPr>
            <w:r w:rsidRPr="00D26D6A">
              <w:rPr>
                <w:sz w:val="22"/>
                <w:szCs w:val="22"/>
              </w:rPr>
              <w:t>Extra-aula total: 120</w:t>
            </w:r>
          </w:p>
        </w:tc>
      </w:tr>
      <w:tr w:rsidR="00602CEA" w:rsidRPr="00C16C6C" w14:paraId="20FB4266" w14:textId="77777777">
        <w:tc>
          <w:tcPr>
            <w:tcW w:w="2663" w:type="dxa"/>
            <w:shd w:val="clear" w:color="auto" w:fill="DEEBF6"/>
          </w:tcPr>
          <w:p w14:paraId="17686741" w14:textId="5A8EE048" w:rsidR="00602CEA" w:rsidRPr="00C16C6C" w:rsidRDefault="006179C4" w:rsidP="00A442DD">
            <w:pPr>
              <w:pStyle w:val="Normal1"/>
              <w:spacing w:line="276" w:lineRule="auto"/>
              <w:rPr>
                <w:sz w:val="22"/>
                <w:szCs w:val="22"/>
              </w:rPr>
            </w:pPr>
            <w:r w:rsidRPr="00C16C6C">
              <w:rPr>
                <w:sz w:val="22"/>
                <w:szCs w:val="22"/>
              </w:rPr>
              <w:t>Tipo de Formación</w:t>
            </w:r>
          </w:p>
        </w:tc>
        <w:tc>
          <w:tcPr>
            <w:tcW w:w="1982" w:type="dxa"/>
          </w:tcPr>
          <w:p w14:paraId="1B4DF545" w14:textId="069C7BD4" w:rsidR="00602CEA" w:rsidRPr="00C16C6C" w:rsidRDefault="000661C2" w:rsidP="009F6B56">
            <w:pPr>
              <w:pStyle w:val="Normal1"/>
              <w:spacing w:line="276" w:lineRule="auto"/>
              <w:rPr>
                <w:sz w:val="22"/>
                <w:szCs w:val="22"/>
              </w:rPr>
            </w:pPr>
            <w:r w:rsidRPr="00C16C6C">
              <w:rPr>
                <w:sz w:val="22"/>
                <w:szCs w:val="22"/>
              </w:rPr>
              <w:t>Electiva</w:t>
            </w:r>
            <w:r w:rsidR="000F334B">
              <w:rPr>
                <w:sz w:val="22"/>
                <w:szCs w:val="22"/>
              </w:rPr>
              <w:t xml:space="preserve"> (I y II)</w:t>
            </w:r>
          </w:p>
        </w:tc>
        <w:tc>
          <w:tcPr>
            <w:tcW w:w="1843" w:type="dxa"/>
            <w:shd w:val="clear" w:color="auto" w:fill="DEEBF6"/>
          </w:tcPr>
          <w:p w14:paraId="18C71014" w14:textId="2A807FB3" w:rsidR="00602CEA" w:rsidRPr="00C16C6C" w:rsidRDefault="006179C4" w:rsidP="00A442DD">
            <w:pPr>
              <w:pStyle w:val="Normal1"/>
              <w:spacing w:line="276" w:lineRule="auto"/>
              <w:rPr>
                <w:sz w:val="22"/>
                <w:szCs w:val="22"/>
              </w:rPr>
            </w:pPr>
            <w:r w:rsidRPr="00C16C6C">
              <w:rPr>
                <w:sz w:val="22"/>
                <w:szCs w:val="22"/>
              </w:rPr>
              <w:t>SCT</w:t>
            </w:r>
          </w:p>
        </w:tc>
        <w:tc>
          <w:tcPr>
            <w:tcW w:w="3132" w:type="dxa"/>
          </w:tcPr>
          <w:p w14:paraId="27C08D58" w14:textId="77777777" w:rsidR="00602CEA" w:rsidRPr="00C16C6C" w:rsidRDefault="000661C2">
            <w:pPr>
              <w:pStyle w:val="Normal1"/>
              <w:spacing w:line="276" w:lineRule="auto"/>
              <w:rPr>
                <w:sz w:val="22"/>
                <w:szCs w:val="22"/>
              </w:rPr>
            </w:pPr>
            <w:r w:rsidRPr="00C16C6C">
              <w:rPr>
                <w:sz w:val="22"/>
                <w:szCs w:val="22"/>
              </w:rPr>
              <w:t>6</w:t>
            </w:r>
          </w:p>
        </w:tc>
      </w:tr>
      <w:tr w:rsidR="00D26D6A" w:rsidRPr="00C16C6C" w14:paraId="1D652DB7" w14:textId="77777777">
        <w:tc>
          <w:tcPr>
            <w:tcW w:w="2663" w:type="dxa"/>
            <w:shd w:val="clear" w:color="auto" w:fill="DEEBF6"/>
          </w:tcPr>
          <w:p w14:paraId="622F0195" w14:textId="363F03C5" w:rsidR="00D26D6A" w:rsidRPr="00C16C6C" w:rsidRDefault="00D26D6A" w:rsidP="00D26D6A">
            <w:pPr>
              <w:pStyle w:val="Normal1"/>
              <w:spacing w:line="276" w:lineRule="auto"/>
              <w:rPr>
                <w:sz w:val="22"/>
                <w:szCs w:val="22"/>
              </w:rPr>
            </w:pPr>
            <w:r w:rsidRPr="00C16C6C">
              <w:rPr>
                <w:sz w:val="22"/>
                <w:szCs w:val="22"/>
              </w:rPr>
              <w:t>Carácter</w:t>
            </w:r>
          </w:p>
        </w:tc>
        <w:tc>
          <w:tcPr>
            <w:tcW w:w="1982" w:type="dxa"/>
          </w:tcPr>
          <w:p w14:paraId="405C8E01" w14:textId="61646731" w:rsidR="00D26D6A" w:rsidRPr="00C16C6C" w:rsidRDefault="00D26D6A" w:rsidP="00D26D6A">
            <w:pPr>
              <w:pStyle w:val="Normal1"/>
              <w:spacing w:line="276" w:lineRule="auto"/>
              <w:rPr>
                <w:sz w:val="22"/>
                <w:szCs w:val="22"/>
              </w:rPr>
            </w:pPr>
            <w:r w:rsidRPr="00F64C93">
              <w:rPr>
                <w:rFonts w:ascii="Arial Narrow" w:hAnsi="Arial Narrow"/>
                <w:sz w:val="24"/>
                <w:szCs w:val="24"/>
              </w:rPr>
              <w:t xml:space="preserve">Teórico-práctico </w:t>
            </w:r>
          </w:p>
        </w:tc>
        <w:tc>
          <w:tcPr>
            <w:tcW w:w="1843" w:type="dxa"/>
            <w:shd w:val="clear" w:color="auto" w:fill="DEEBF6"/>
          </w:tcPr>
          <w:p w14:paraId="39C0887E" w14:textId="77777777" w:rsidR="00D26D6A" w:rsidRPr="00C16C6C" w:rsidRDefault="00D26D6A" w:rsidP="00D26D6A">
            <w:pPr>
              <w:pStyle w:val="Normal1"/>
              <w:spacing w:line="276" w:lineRule="auto"/>
              <w:rPr>
                <w:sz w:val="22"/>
                <w:szCs w:val="22"/>
              </w:rPr>
            </w:pPr>
            <w:r w:rsidRPr="00C16C6C">
              <w:rPr>
                <w:sz w:val="22"/>
                <w:szCs w:val="22"/>
              </w:rPr>
              <w:t>Requisitos</w:t>
            </w:r>
          </w:p>
        </w:tc>
        <w:tc>
          <w:tcPr>
            <w:tcW w:w="3132" w:type="dxa"/>
          </w:tcPr>
          <w:p w14:paraId="2A41123B" w14:textId="77777777" w:rsidR="00D26D6A" w:rsidRPr="00C16C6C" w:rsidRDefault="00D26D6A" w:rsidP="00D26D6A">
            <w:pPr>
              <w:pStyle w:val="Normal1"/>
              <w:spacing w:line="276" w:lineRule="auto"/>
              <w:rPr>
                <w:sz w:val="22"/>
                <w:szCs w:val="22"/>
              </w:rPr>
            </w:pPr>
            <w:r w:rsidRPr="00C16C6C">
              <w:rPr>
                <w:sz w:val="22"/>
                <w:szCs w:val="22"/>
              </w:rPr>
              <w:t>No</w:t>
            </w:r>
          </w:p>
        </w:tc>
      </w:tr>
      <w:tr w:rsidR="00D26D6A" w:rsidRPr="00C16C6C" w14:paraId="4AE1EEBE" w14:textId="77777777">
        <w:tc>
          <w:tcPr>
            <w:tcW w:w="2663" w:type="dxa"/>
            <w:shd w:val="clear" w:color="auto" w:fill="DEEBF6"/>
          </w:tcPr>
          <w:p w14:paraId="4D977582" w14:textId="77777777" w:rsidR="00D26D6A" w:rsidRPr="00C16C6C" w:rsidRDefault="00D26D6A" w:rsidP="00D26D6A">
            <w:pPr>
              <w:pStyle w:val="Normal1"/>
              <w:spacing w:line="276" w:lineRule="auto"/>
              <w:rPr>
                <w:sz w:val="22"/>
                <w:szCs w:val="22"/>
              </w:rPr>
            </w:pPr>
            <w:r w:rsidRPr="00C16C6C">
              <w:rPr>
                <w:sz w:val="22"/>
                <w:szCs w:val="22"/>
              </w:rPr>
              <w:t>Año académico</w:t>
            </w:r>
          </w:p>
        </w:tc>
        <w:tc>
          <w:tcPr>
            <w:tcW w:w="1982" w:type="dxa"/>
          </w:tcPr>
          <w:p w14:paraId="4683E6A0" w14:textId="096C078A" w:rsidR="00D26D6A" w:rsidRPr="00C16C6C" w:rsidRDefault="00D26D6A" w:rsidP="00D26D6A">
            <w:pPr>
              <w:pStyle w:val="Normal1"/>
              <w:spacing w:line="276" w:lineRule="auto"/>
              <w:rPr>
                <w:sz w:val="22"/>
                <w:szCs w:val="22"/>
              </w:rPr>
            </w:pPr>
            <w:r>
              <w:rPr>
                <w:sz w:val="22"/>
                <w:szCs w:val="22"/>
              </w:rPr>
              <w:t>2020</w:t>
            </w:r>
          </w:p>
        </w:tc>
        <w:tc>
          <w:tcPr>
            <w:tcW w:w="1843" w:type="dxa"/>
            <w:shd w:val="clear" w:color="auto" w:fill="DEEBF6"/>
          </w:tcPr>
          <w:p w14:paraId="4D335F44" w14:textId="77777777" w:rsidR="00D26D6A" w:rsidRPr="00C16C6C" w:rsidRDefault="00D26D6A" w:rsidP="00D26D6A">
            <w:pPr>
              <w:pStyle w:val="Normal1"/>
              <w:spacing w:line="276" w:lineRule="auto"/>
              <w:rPr>
                <w:sz w:val="22"/>
                <w:szCs w:val="22"/>
              </w:rPr>
            </w:pPr>
            <w:r w:rsidRPr="00C16C6C">
              <w:rPr>
                <w:sz w:val="22"/>
                <w:szCs w:val="22"/>
              </w:rPr>
              <w:t>Semestre</w:t>
            </w:r>
          </w:p>
        </w:tc>
        <w:tc>
          <w:tcPr>
            <w:tcW w:w="3132" w:type="dxa"/>
          </w:tcPr>
          <w:p w14:paraId="46DA970F" w14:textId="0DA025F7" w:rsidR="00D26D6A" w:rsidRPr="00C16C6C" w:rsidRDefault="00D26D6A" w:rsidP="00D26D6A">
            <w:pPr>
              <w:pStyle w:val="Normal1"/>
              <w:spacing w:line="276" w:lineRule="auto"/>
              <w:rPr>
                <w:sz w:val="22"/>
                <w:szCs w:val="22"/>
              </w:rPr>
            </w:pPr>
            <w:r>
              <w:rPr>
                <w:sz w:val="22"/>
                <w:szCs w:val="22"/>
              </w:rPr>
              <w:t>Primer</w:t>
            </w:r>
          </w:p>
        </w:tc>
      </w:tr>
      <w:tr w:rsidR="00D26D6A" w:rsidRPr="00C16C6C" w14:paraId="06AE1E71" w14:textId="77777777">
        <w:tc>
          <w:tcPr>
            <w:tcW w:w="2663" w:type="dxa"/>
            <w:shd w:val="clear" w:color="auto" w:fill="DEEBF6"/>
          </w:tcPr>
          <w:p w14:paraId="5890D620" w14:textId="77777777" w:rsidR="00D26D6A" w:rsidRPr="00C16C6C" w:rsidRDefault="00D26D6A" w:rsidP="00D26D6A">
            <w:pPr>
              <w:pStyle w:val="Normal1"/>
              <w:spacing w:line="276" w:lineRule="auto"/>
              <w:rPr>
                <w:sz w:val="22"/>
                <w:szCs w:val="22"/>
              </w:rPr>
            </w:pPr>
            <w:r w:rsidRPr="00C16C6C">
              <w:rPr>
                <w:sz w:val="22"/>
                <w:szCs w:val="22"/>
              </w:rPr>
              <w:t>Facultad</w:t>
            </w:r>
          </w:p>
        </w:tc>
        <w:tc>
          <w:tcPr>
            <w:tcW w:w="1982" w:type="dxa"/>
          </w:tcPr>
          <w:p w14:paraId="47736111" w14:textId="77777777" w:rsidR="00D26D6A" w:rsidRPr="00C16C6C" w:rsidRDefault="00D26D6A" w:rsidP="00D26D6A">
            <w:pPr>
              <w:pStyle w:val="Normal1"/>
              <w:spacing w:line="276" w:lineRule="auto"/>
              <w:rPr>
                <w:sz w:val="22"/>
                <w:szCs w:val="22"/>
              </w:rPr>
            </w:pPr>
            <w:r w:rsidRPr="00C16C6C">
              <w:rPr>
                <w:sz w:val="22"/>
                <w:szCs w:val="22"/>
              </w:rPr>
              <w:t>Núcleo en Ciencias Sociales y Humanidades</w:t>
            </w:r>
          </w:p>
        </w:tc>
        <w:tc>
          <w:tcPr>
            <w:tcW w:w="1843" w:type="dxa"/>
            <w:shd w:val="clear" w:color="auto" w:fill="DEEBF6"/>
          </w:tcPr>
          <w:p w14:paraId="305FA20B" w14:textId="77777777" w:rsidR="00D26D6A" w:rsidRPr="00C16C6C" w:rsidRDefault="00D26D6A" w:rsidP="00D26D6A">
            <w:pPr>
              <w:pStyle w:val="Normal1"/>
              <w:spacing w:line="276" w:lineRule="auto"/>
              <w:rPr>
                <w:sz w:val="22"/>
                <w:szCs w:val="22"/>
              </w:rPr>
            </w:pPr>
            <w:r w:rsidRPr="00C16C6C">
              <w:rPr>
                <w:sz w:val="22"/>
                <w:szCs w:val="22"/>
              </w:rPr>
              <w:t>Plataformas en Uso</w:t>
            </w:r>
          </w:p>
        </w:tc>
        <w:tc>
          <w:tcPr>
            <w:tcW w:w="3132" w:type="dxa"/>
          </w:tcPr>
          <w:p w14:paraId="5FD843CE" w14:textId="77777777" w:rsidR="00D26D6A" w:rsidRPr="00C16C6C" w:rsidRDefault="00D26D6A" w:rsidP="00D26D6A">
            <w:pPr>
              <w:pStyle w:val="Normal1"/>
              <w:spacing w:line="276" w:lineRule="auto"/>
              <w:rPr>
                <w:sz w:val="22"/>
                <w:szCs w:val="22"/>
              </w:rPr>
            </w:pPr>
          </w:p>
        </w:tc>
      </w:tr>
      <w:tr w:rsidR="00D26D6A" w:rsidRPr="00C16C6C" w14:paraId="052369EE" w14:textId="77777777">
        <w:tc>
          <w:tcPr>
            <w:tcW w:w="2663" w:type="dxa"/>
            <w:shd w:val="clear" w:color="auto" w:fill="DEEBF6"/>
          </w:tcPr>
          <w:p w14:paraId="60D2780A" w14:textId="2FC6FA61" w:rsidR="00D26D6A" w:rsidRPr="00C16C6C" w:rsidRDefault="00D26D6A" w:rsidP="00D26D6A">
            <w:pPr>
              <w:pStyle w:val="Normal1"/>
              <w:spacing w:line="276" w:lineRule="auto"/>
              <w:rPr>
                <w:sz w:val="22"/>
                <w:szCs w:val="22"/>
              </w:rPr>
            </w:pPr>
            <w:r w:rsidRPr="00C16C6C">
              <w:rPr>
                <w:sz w:val="22"/>
                <w:szCs w:val="22"/>
              </w:rPr>
              <w:t>Docente</w:t>
            </w:r>
          </w:p>
        </w:tc>
        <w:tc>
          <w:tcPr>
            <w:tcW w:w="6957" w:type="dxa"/>
            <w:gridSpan w:val="3"/>
          </w:tcPr>
          <w:p w14:paraId="0554112C" w14:textId="0557FA88" w:rsidR="00D26D6A" w:rsidRPr="000F334B" w:rsidRDefault="00B22BD6" w:rsidP="00D26D6A">
            <w:pPr>
              <w:pStyle w:val="Normal1"/>
              <w:spacing w:line="276" w:lineRule="auto"/>
              <w:jc w:val="both"/>
              <w:rPr>
                <w:color w:val="000000" w:themeColor="text1"/>
                <w:sz w:val="22"/>
                <w:szCs w:val="22"/>
                <w:shd w:val="clear" w:color="auto" w:fill="FFFFFF"/>
              </w:rPr>
            </w:pPr>
            <w:r w:rsidRPr="000F334B">
              <w:rPr>
                <w:color w:val="000000" w:themeColor="text1"/>
                <w:sz w:val="22"/>
                <w:szCs w:val="22"/>
                <w:shd w:val="clear" w:color="auto" w:fill="FFFFFF"/>
              </w:rPr>
              <w:t>Dra. Natalia Aruguete</w:t>
            </w:r>
            <w:r w:rsidR="000F334B">
              <w:rPr>
                <w:color w:val="000000" w:themeColor="text1"/>
                <w:sz w:val="22"/>
                <w:szCs w:val="22"/>
                <w:shd w:val="clear" w:color="auto" w:fill="FFFFFF"/>
              </w:rPr>
              <w:t>, Universidad Nacional de Quilmes, Argentina.</w:t>
            </w:r>
          </w:p>
        </w:tc>
      </w:tr>
    </w:tbl>
    <w:p w14:paraId="3AA371A1" w14:textId="77777777" w:rsidR="00602CEA" w:rsidRDefault="00602CEA">
      <w:pPr>
        <w:pStyle w:val="Normal1"/>
        <w:spacing w:after="0" w:line="360" w:lineRule="auto"/>
        <w:ind w:left="360"/>
        <w:rPr>
          <w:b/>
          <w:sz w:val="24"/>
          <w:szCs w:val="24"/>
        </w:rPr>
      </w:pPr>
    </w:p>
    <w:p w14:paraId="2B4B00BC" w14:textId="77777777" w:rsidR="00602CEA" w:rsidRDefault="006179C4">
      <w:pPr>
        <w:pStyle w:val="Normal1"/>
        <w:numPr>
          <w:ilvl w:val="0"/>
          <w:numId w:val="1"/>
        </w:numPr>
        <w:pBdr>
          <w:top w:val="nil"/>
          <w:left w:val="nil"/>
          <w:bottom w:val="nil"/>
          <w:right w:val="nil"/>
          <w:between w:val="nil"/>
        </w:pBdr>
        <w:spacing w:after="0" w:line="276" w:lineRule="auto"/>
        <w:contextualSpacing/>
        <w:rPr>
          <w:b/>
          <w:color w:val="000000"/>
          <w:sz w:val="24"/>
          <w:szCs w:val="24"/>
        </w:rPr>
      </w:pPr>
      <w:r>
        <w:rPr>
          <w:b/>
          <w:color w:val="000000"/>
          <w:sz w:val="24"/>
          <w:szCs w:val="24"/>
        </w:rPr>
        <w:t>Perfil del graduado/especialista</w:t>
      </w:r>
    </w:p>
    <w:tbl>
      <w:tblPr>
        <w:tblStyle w:val="a0"/>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6B9DEB72" w14:textId="77777777" w:rsidTr="009F6B56">
        <w:tc>
          <w:tcPr>
            <w:tcW w:w="9620" w:type="dxa"/>
          </w:tcPr>
          <w:p w14:paraId="7767FE91" w14:textId="065E4C40" w:rsidR="00602CEA" w:rsidRDefault="000F334B" w:rsidP="000427EE">
            <w:pPr>
              <w:pStyle w:val="Normal1"/>
              <w:spacing w:line="276" w:lineRule="auto"/>
              <w:jc w:val="both"/>
              <w:rPr>
                <w:b/>
                <w:sz w:val="24"/>
                <w:szCs w:val="24"/>
              </w:rPr>
            </w:pPr>
            <w:r w:rsidRPr="00AA2976">
              <w:rPr>
                <w:rFonts w:eastAsia="Garamond"/>
                <w:sz w:val="24"/>
                <w:szCs w:val="24"/>
              </w:rPr>
              <w:t xml:space="preserve">El Doctor en Comunicación formado en las Universidades de La Frontera y la Universidad Austral de Chile es un postgraduado con </w:t>
            </w:r>
            <w:r w:rsidRPr="00AA2976">
              <w:rPr>
                <w:rFonts w:eastAsia="Garamond"/>
                <w:sz w:val="24"/>
                <w:szCs w:val="24"/>
                <w:u w:val="single"/>
              </w:rPr>
              <w:t>capacidades para desempeñarse en</w:t>
            </w:r>
            <w:r w:rsidRPr="00AA2976">
              <w:rPr>
                <w:rFonts w:eastAsia="Garamond"/>
                <w:sz w:val="24"/>
                <w:szCs w:val="24"/>
              </w:rPr>
              <w:t xml:space="preserve"> (1) la investigación autónoma en el campo de la comunicación, y (2) la difusión del conocimiento del área a públicos académicos. Su formación es desde una perspectiva crítica de la industria cultural y sus mediaciones, a través de enfoques, teorías y análisis interdisciplinarios para desarrollar estudios sobre los procesos de comunicación. Su </w:t>
            </w:r>
            <w:r w:rsidRPr="00AA2976">
              <w:rPr>
                <w:rFonts w:eastAsia="Garamond"/>
                <w:sz w:val="24"/>
                <w:szCs w:val="24"/>
                <w:u w:val="single"/>
              </w:rPr>
              <w:t>formación lo habilita</w:t>
            </w:r>
            <w:r w:rsidRPr="00AA2976">
              <w:rPr>
                <w:rFonts w:eastAsia="Garamond"/>
                <w:sz w:val="24"/>
                <w:szCs w:val="24"/>
              </w:rPr>
              <w:t xml:space="preserve"> para (1.1.) Identificar nuevos problemas en contextos interculturales, conocidos y emergentes, con diferentes técnicas teórico-metodológicas; (1.2.) Desarrollar investigación en el campo de la comunicación, con herramientas teórico-metodológicas desde una perspectiva interdisciplinaria para contribuir a la comprensión de las problemáticas asociadas a los distintos contextos interculturales; (2.1.) Preparar artículos científicos para su publicación en revistas indexadas del área, en base a la discusión teórica, análisis preliminar de distintos corpus y resultados de investigación propia, y (2.2.) Producir textos científicos para la exposición de resultados de investigación a públicos académicos. Tiene </w:t>
            </w:r>
            <w:r w:rsidRPr="00AA2976">
              <w:rPr>
                <w:rFonts w:eastAsia="Garamond"/>
                <w:sz w:val="24"/>
                <w:szCs w:val="24"/>
                <w:u w:val="single"/>
              </w:rPr>
              <w:t>capacidad para</w:t>
            </w:r>
            <w:r w:rsidRPr="00AA2976">
              <w:rPr>
                <w:rFonts w:eastAsia="Garamond"/>
                <w:sz w:val="24"/>
                <w:szCs w:val="24"/>
              </w:rPr>
              <w:t xml:space="preserve"> comunicarse de manera efectiva con diversos públicos y analizar problemáticas desde un pensamiento crítico. El Doctor en Comunicación postgraduado de las Universidades de La Frontera y la Universidad Austral de Chile </w:t>
            </w:r>
            <w:r w:rsidRPr="00AA2976">
              <w:rPr>
                <w:rFonts w:eastAsia="Garamond"/>
                <w:sz w:val="24"/>
                <w:szCs w:val="24"/>
                <w:u w:val="single"/>
              </w:rPr>
              <w:t>podrá desempeñarse</w:t>
            </w:r>
            <w:r w:rsidRPr="00AA2976">
              <w:rPr>
                <w:rFonts w:eastAsia="Garamond"/>
                <w:sz w:val="24"/>
                <w:szCs w:val="24"/>
              </w:rPr>
              <w:t xml:space="preserve"> en Centros e Institutos de investigación, instituciones de educación superior, públicas o privadas</w:t>
            </w:r>
            <w:r>
              <w:rPr>
                <w:rFonts w:eastAsia="Garamond"/>
                <w:sz w:val="24"/>
                <w:szCs w:val="24"/>
              </w:rPr>
              <w:t>.</w:t>
            </w:r>
          </w:p>
        </w:tc>
      </w:tr>
    </w:tbl>
    <w:p w14:paraId="245E6E79" w14:textId="77777777" w:rsidR="00602CEA" w:rsidRDefault="00602CEA">
      <w:pPr>
        <w:pStyle w:val="Normal1"/>
        <w:spacing w:after="0" w:line="276" w:lineRule="auto"/>
        <w:ind w:left="360"/>
        <w:rPr>
          <w:b/>
          <w:sz w:val="24"/>
          <w:szCs w:val="24"/>
        </w:rPr>
      </w:pPr>
    </w:p>
    <w:p w14:paraId="55C0EDC0" w14:textId="77777777" w:rsidR="00602CEA" w:rsidRDefault="006179C4">
      <w:pPr>
        <w:pStyle w:val="Normal1"/>
        <w:numPr>
          <w:ilvl w:val="0"/>
          <w:numId w:val="1"/>
        </w:numPr>
        <w:pBdr>
          <w:top w:val="nil"/>
          <w:left w:val="nil"/>
          <w:bottom w:val="nil"/>
          <w:right w:val="nil"/>
          <w:between w:val="nil"/>
        </w:pBdr>
        <w:spacing w:after="0" w:line="276" w:lineRule="auto"/>
        <w:contextualSpacing/>
        <w:rPr>
          <w:b/>
          <w:color w:val="000000"/>
          <w:sz w:val="24"/>
          <w:szCs w:val="24"/>
        </w:rPr>
      </w:pPr>
      <w:r>
        <w:rPr>
          <w:b/>
          <w:color w:val="000000"/>
          <w:sz w:val="24"/>
          <w:szCs w:val="24"/>
        </w:rPr>
        <w:t>Descripción de la actividad curricular</w:t>
      </w:r>
    </w:p>
    <w:tbl>
      <w:tblPr>
        <w:tblStyle w:val="a1"/>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3D2FABF3" w14:textId="77777777">
        <w:tc>
          <w:tcPr>
            <w:tcW w:w="9620" w:type="dxa"/>
          </w:tcPr>
          <w:p w14:paraId="656DB7C3" w14:textId="766AEC88" w:rsidR="00DB2DD3" w:rsidRPr="000F334B" w:rsidRDefault="008716E1" w:rsidP="000427EE">
            <w:pPr>
              <w:pStyle w:val="Normal1"/>
              <w:spacing w:line="276" w:lineRule="auto"/>
              <w:jc w:val="both"/>
              <w:rPr>
                <w:sz w:val="24"/>
                <w:szCs w:val="24"/>
              </w:rPr>
            </w:pPr>
            <w:r w:rsidRPr="000F334B">
              <w:rPr>
                <w:rFonts w:cs="Calibri"/>
                <w:sz w:val="24"/>
                <w:szCs w:val="24"/>
                <w:lang w:val="es-ES"/>
              </w:rPr>
              <w:t>La propuesta del curso apunta a indagar el campo comunicacional existente y discutir ideas que ganen terreno en la arena pública y, así, sobrevolar la teoría del Framing desde una lectura detenida y crítica de la bibliografía propuesta, con la certeza de que ello nos dará elementos para analizar y razonar sobre diversos aspectos que hacen a la relación entre la arena política, los medios de comunicación y el espacio público. Aunque haremos hincapié en el papel que los medios juegan en esta dinámica, es fundamental conocer lo que se ha teorizado acerca de la relación entre los actores políticos, los medios de comunicación y los ciudadanos, deteniéndonos en los procesos de construcción social de la realidad.</w:t>
            </w:r>
          </w:p>
        </w:tc>
      </w:tr>
    </w:tbl>
    <w:p w14:paraId="68E469A2" w14:textId="60B87DCC" w:rsidR="00602CEA" w:rsidRDefault="00602CEA">
      <w:pPr>
        <w:pStyle w:val="Normal1"/>
        <w:spacing w:after="0" w:line="360" w:lineRule="auto"/>
        <w:ind w:left="360"/>
        <w:rPr>
          <w:b/>
          <w:sz w:val="24"/>
          <w:szCs w:val="24"/>
        </w:rPr>
      </w:pPr>
    </w:p>
    <w:p w14:paraId="20BED759" w14:textId="77777777" w:rsidR="0086413C" w:rsidRDefault="0086413C">
      <w:pPr>
        <w:pStyle w:val="Normal1"/>
        <w:spacing w:after="0" w:line="360" w:lineRule="auto"/>
        <w:ind w:left="360"/>
        <w:rPr>
          <w:b/>
          <w:sz w:val="24"/>
          <w:szCs w:val="24"/>
        </w:rPr>
      </w:pPr>
    </w:p>
    <w:p w14:paraId="1DB55C52" w14:textId="77777777" w:rsidR="00602CEA" w:rsidRPr="006E7E5C" w:rsidRDefault="006179C4" w:rsidP="006E7E5C">
      <w:pPr>
        <w:pStyle w:val="Sinespaciado"/>
        <w:numPr>
          <w:ilvl w:val="0"/>
          <w:numId w:val="6"/>
        </w:numPr>
        <w:rPr>
          <w:b/>
          <w:sz w:val="24"/>
        </w:rPr>
      </w:pPr>
      <w:r w:rsidRPr="006E7E5C">
        <w:rPr>
          <w:b/>
          <w:sz w:val="24"/>
        </w:rPr>
        <w:lastRenderedPageBreak/>
        <w:t>Programa orientado al desarrollo de las siguientes competencias</w:t>
      </w:r>
    </w:p>
    <w:tbl>
      <w:tblPr>
        <w:tblStyle w:val="a2"/>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810"/>
        <w:gridCol w:w="4810"/>
      </w:tblGrid>
      <w:tr w:rsidR="00602CEA" w14:paraId="2A137D4B" w14:textId="77777777">
        <w:tc>
          <w:tcPr>
            <w:tcW w:w="4810" w:type="dxa"/>
            <w:shd w:val="clear" w:color="auto" w:fill="DEEBF6"/>
          </w:tcPr>
          <w:p w14:paraId="51A381EA" w14:textId="0106D85D" w:rsidR="00602CEA" w:rsidRDefault="006179C4" w:rsidP="006E7E5C">
            <w:pPr>
              <w:pStyle w:val="Normal1"/>
              <w:spacing w:line="276" w:lineRule="auto"/>
              <w:jc w:val="center"/>
              <w:rPr>
                <w:b/>
                <w:sz w:val="24"/>
                <w:szCs w:val="24"/>
              </w:rPr>
            </w:pPr>
            <w:r>
              <w:rPr>
                <w:b/>
                <w:sz w:val="24"/>
                <w:szCs w:val="24"/>
              </w:rPr>
              <w:t>Genéricas</w:t>
            </w:r>
          </w:p>
        </w:tc>
        <w:tc>
          <w:tcPr>
            <w:tcW w:w="4810" w:type="dxa"/>
            <w:shd w:val="clear" w:color="auto" w:fill="DEEBF6"/>
          </w:tcPr>
          <w:p w14:paraId="08BBDCD5" w14:textId="7EA714D0" w:rsidR="00602CEA" w:rsidRDefault="006179C4" w:rsidP="006E7E5C">
            <w:pPr>
              <w:pStyle w:val="Normal1"/>
              <w:spacing w:line="276" w:lineRule="auto"/>
              <w:jc w:val="center"/>
              <w:rPr>
                <w:b/>
                <w:sz w:val="24"/>
                <w:szCs w:val="24"/>
              </w:rPr>
            </w:pPr>
            <w:r>
              <w:rPr>
                <w:b/>
                <w:sz w:val="24"/>
                <w:szCs w:val="24"/>
              </w:rPr>
              <w:t>De especialidad o disciplinares</w:t>
            </w:r>
          </w:p>
        </w:tc>
      </w:tr>
      <w:tr w:rsidR="00602CEA" w:rsidRPr="000F334B" w14:paraId="4E96552D" w14:textId="77777777">
        <w:tc>
          <w:tcPr>
            <w:tcW w:w="4810" w:type="dxa"/>
          </w:tcPr>
          <w:p w14:paraId="48BA7CA3" w14:textId="37C62C4A" w:rsidR="00B52C98" w:rsidRPr="000F334B" w:rsidRDefault="000F334B" w:rsidP="000427EE">
            <w:pPr>
              <w:pStyle w:val="Normal1"/>
              <w:spacing w:line="276" w:lineRule="auto"/>
              <w:jc w:val="both"/>
              <w:rPr>
                <w:sz w:val="24"/>
                <w:szCs w:val="24"/>
              </w:rPr>
            </w:pPr>
            <w:r w:rsidRPr="00481E1F">
              <w:rPr>
                <w:rFonts w:eastAsia="Garamond"/>
                <w:sz w:val="24"/>
              </w:rPr>
              <w:t xml:space="preserve">1) </w:t>
            </w:r>
            <w:r w:rsidRPr="00481E1F">
              <w:rPr>
                <w:rFonts w:eastAsia="Garamond"/>
                <w:sz w:val="24"/>
                <w:u w:val="single"/>
              </w:rPr>
              <w:t>Pensamiento Crítico</w:t>
            </w:r>
            <w:r w:rsidRPr="00481E1F">
              <w:rPr>
                <w:rFonts w:eastAsia="Garamond"/>
                <w:sz w:val="24"/>
              </w:rPr>
              <w:t>: habilidad para evaluar o analizar la realidad y los argumentos sobre ella, tanto propios como ajenos.</w:t>
            </w:r>
          </w:p>
        </w:tc>
        <w:tc>
          <w:tcPr>
            <w:tcW w:w="4810" w:type="dxa"/>
          </w:tcPr>
          <w:p w14:paraId="354C639D" w14:textId="3C9063FD" w:rsidR="00DB2DD3" w:rsidRPr="000F334B" w:rsidRDefault="000F334B" w:rsidP="000427EE">
            <w:pPr>
              <w:pStyle w:val="Normal1"/>
              <w:spacing w:line="276" w:lineRule="auto"/>
              <w:jc w:val="both"/>
              <w:rPr>
                <w:sz w:val="24"/>
                <w:szCs w:val="24"/>
              </w:rPr>
            </w:pPr>
            <w:r w:rsidRPr="00481E1F">
              <w:rPr>
                <w:rFonts w:eastAsia="Garamond"/>
                <w:sz w:val="24"/>
              </w:rPr>
              <w:t>1.1.) Identificar nuevos problemas de la comunicación en contextos interculturales conocidos y emergentes con diferentes técnicas teórico-metodológicas.</w:t>
            </w:r>
          </w:p>
        </w:tc>
      </w:tr>
    </w:tbl>
    <w:p w14:paraId="57FB632B" w14:textId="77777777" w:rsidR="0086413C" w:rsidRDefault="0086413C" w:rsidP="0086413C">
      <w:pPr>
        <w:pStyle w:val="Normal1"/>
        <w:pBdr>
          <w:top w:val="nil"/>
          <w:left w:val="nil"/>
          <w:bottom w:val="nil"/>
          <w:right w:val="nil"/>
          <w:between w:val="nil"/>
        </w:pBdr>
        <w:spacing w:after="0" w:line="276" w:lineRule="auto"/>
        <w:ind w:left="1080"/>
        <w:contextualSpacing/>
        <w:rPr>
          <w:b/>
          <w:color w:val="000000"/>
          <w:sz w:val="24"/>
          <w:szCs w:val="24"/>
        </w:rPr>
      </w:pPr>
    </w:p>
    <w:p w14:paraId="76F907AF" w14:textId="402FE090" w:rsidR="00602CEA" w:rsidRDefault="00BD4C5B" w:rsidP="00BD4C5B">
      <w:pPr>
        <w:pStyle w:val="Normal1"/>
        <w:pBdr>
          <w:top w:val="nil"/>
          <w:left w:val="nil"/>
          <w:bottom w:val="nil"/>
          <w:right w:val="nil"/>
          <w:between w:val="nil"/>
        </w:pBdr>
        <w:spacing w:after="0" w:line="276" w:lineRule="auto"/>
        <w:ind w:left="426" w:firstLine="11"/>
        <w:contextualSpacing/>
        <w:rPr>
          <w:b/>
          <w:color w:val="000000"/>
          <w:sz w:val="24"/>
          <w:szCs w:val="24"/>
        </w:rPr>
      </w:pPr>
      <w:r>
        <w:rPr>
          <w:b/>
          <w:color w:val="000000"/>
          <w:sz w:val="24"/>
          <w:szCs w:val="24"/>
        </w:rPr>
        <w:t>V.</w:t>
      </w:r>
      <w:r>
        <w:rPr>
          <w:b/>
          <w:color w:val="000000"/>
          <w:sz w:val="24"/>
          <w:szCs w:val="24"/>
        </w:rPr>
        <w:tab/>
      </w:r>
      <w:r w:rsidR="006179C4">
        <w:rPr>
          <w:b/>
          <w:color w:val="000000"/>
          <w:sz w:val="24"/>
          <w:szCs w:val="24"/>
        </w:rPr>
        <w:t>Resultados de aprendizaje</w:t>
      </w:r>
    </w:p>
    <w:tbl>
      <w:tblPr>
        <w:tblStyle w:val="a3"/>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7D1C591E" w14:textId="77777777" w:rsidTr="00D462A2">
        <w:tc>
          <w:tcPr>
            <w:tcW w:w="9620" w:type="dxa"/>
          </w:tcPr>
          <w:p w14:paraId="13DD15AB" w14:textId="0625F709" w:rsidR="000F334B" w:rsidRPr="00DB4CC9" w:rsidRDefault="00A35C35" w:rsidP="000427EE">
            <w:pPr>
              <w:pStyle w:val="Normal1"/>
              <w:spacing w:line="276" w:lineRule="auto"/>
              <w:rPr>
                <w:sz w:val="24"/>
                <w:szCs w:val="24"/>
              </w:rPr>
            </w:pPr>
            <w:r w:rsidRPr="00A35C35">
              <w:rPr>
                <w:sz w:val="24"/>
                <w:szCs w:val="24"/>
              </w:rPr>
              <w:t>Al finalizar con éxito este electivo el estudiante</w:t>
            </w:r>
            <w:r w:rsidR="000F334B" w:rsidRPr="00DB4CC9">
              <w:rPr>
                <w:sz w:val="24"/>
                <w:szCs w:val="24"/>
              </w:rPr>
              <w:t>:</w:t>
            </w:r>
          </w:p>
          <w:p w14:paraId="599A4DC3" w14:textId="7488C356" w:rsidR="00A32921" w:rsidRDefault="00A35C35" w:rsidP="000427EE">
            <w:pPr>
              <w:pStyle w:val="Normal1"/>
              <w:numPr>
                <w:ilvl w:val="0"/>
                <w:numId w:val="10"/>
              </w:numPr>
              <w:pBdr>
                <w:top w:val="nil"/>
                <w:left w:val="nil"/>
                <w:bottom w:val="nil"/>
                <w:right w:val="nil"/>
                <w:between w:val="nil"/>
              </w:pBdr>
              <w:spacing w:line="276" w:lineRule="auto"/>
              <w:contextualSpacing/>
              <w:jc w:val="both"/>
              <w:rPr>
                <w:rFonts w:cs="Calibri"/>
                <w:sz w:val="24"/>
                <w:szCs w:val="24"/>
                <w:lang w:val="es-AR"/>
              </w:rPr>
            </w:pPr>
            <w:r>
              <w:rPr>
                <w:rFonts w:cs="Calibri"/>
                <w:sz w:val="24"/>
                <w:szCs w:val="24"/>
                <w:lang w:val="es-AR"/>
              </w:rPr>
              <w:t>Analiza y problematiza</w:t>
            </w:r>
            <w:r w:rsidR="008716E1" w:rsidRPr="00DB4CC9">
              <w:rPr>
                <w:rFonts w:cs="Calibri"/>
                <w:sz w:val="24"/>
                <w:szCs w:val="24"/>
                <w:lang w:val="es-AR"/>
              </w:rPr>
              <w:t xml:space="preserve"> la relación discursiva entre políticos </w:t>
            </w:r>
            <w:r w:rsidR="004C14F3">
              <w:rPr>
                <w:rFonts w:cs="Calibri"/>
                <w:sz w:val="24"/>
                <w:szCs w:val="24"/>
                <w:lang w:val="es-AR"/>
              </w:rPr>
              <w:t>-</w:t>
            </w:r>
            <w:r w:rsidR="008716E1" w:rsidRPr="00DB4CC9">
              <w:rPr>
                <w:rFonts w:cs="Calibri"/>
                <w:sz w:val="24"/>
                <w:szCs w:val="24"/>
                <w:lang w:val="es-AR"/>
              </w:rPr>
              <w:t>sus comunicaciones públicas</w:t>
            </w:r>
            <w:r w:rsidR="004C14F3">
              <w:rPr>
                <w:rFonts w:cs="Calibri"/>
                <w:sz w:val="24"/>
                <w:szCs w:val="24"/>
                <w:lang w:val="es-AR"/>
              </w:rPr>
              <w:t>-</w:t>
            </w:r>
            <w:r w:rsidR="008716E1" w:rsidRPr="00DB4CC9">
              <w:rPr>
                <w:rFonts w:cs="Calibri"/>
                <w:sz w:val="24"/>
                <w:szCs w:val="24"/>
                <w:lang w:val="es-AR"/>
              </w:rPr>
              <w:t xml:space="preserve">, periodistas </w:t>
            </w:r>
            <w:r w:rsidR="004C14F3">
              <w:rPr>
                <w:rFonts w:cs="Calibri"/>
                <w:sz w:val="24"/>
                <w:szCs w:val="24"/>
                <w:lang w:val="es-AR"/>
              </w:rPr>
              <w:t>-</w:t>
            </w:r>
            <w:r w:rsidR="008716E1" w:rsidRPr="00DB4CC9">
              <w:rPr>
                <w:rFonts w:cs="Calibri"/>
                <w:sz w:val="24"/>
                <w:szCs w:val="24"/>
                <w:lang w:val="es-AR"/>
              </w:rPr>
              <w:t>sus productos, las noticias</w:t>
            </w:r>
            <w:r w:rsidR="004C14F3">
              <w:rPr>
                <w:rFonts w:cs="Calibri"/>
                <w:sz w:val="24"/>
                <w:szCs w:val="24"/>
                <w:lang w:val="es-AR"/>
              </w:rPr>
              <w:t>-</w:t>
            </w:r>
            <w:r w:rsidR="008716E1" w:rsidRPr="00DB4CC9">
              <w:rPr>
                <w:rFonts w:cs="Calibri"/>
                <w:sz w:val="24"/>
                <w:szCs w:val="24"/>
                <w:lang w:val="es-AR"/>
              </w:rPr>
              <w:t xml:space="preserve"> y ciudadanos </w:t>
            </w:r>
            <w:r w:rsidR="004C14F3">
              <w:rPr>
                <w:rFonts w:cs="Calibri"/>
                <w:sz w:val="24"/>
                <w:szCs w:val="24"/>
                <w:lang w:val="es-AR"/>
              </w:rPr>
              <w:t>-</w:t>
            </w:r>
            <w:r w:rsidR="008716E1" w:rsidRPr="00DB4CC9">
              <w:rPr>
                <w:rFonts w:cs="Calibri"/>
                <w:sz w:val="24"/>
                <w:szCs w:val="24"/>
                <w:lang w:val="es-AR"/>
              </w:rPr>
              <w:t>sus ideas y toma de decisiones</w:t>
            </w:r>
            <w:r w:rsidR="004C14F3">
              <w:rPr>
                <w:rFonts w:cs="Calibri"/>
                <w:sz w:val="24"/>
                <w:szCs w:val="24"/>
                <w:lang w:val="es-AR"/>
              </w:rPr>
              <w:t>-</w:t>
            </w:r>
            <w:r w:rsidR="008716E1" w:rsidRPr="00DB4CC9">
              <w:rPr>
                <w:rFonts w:cs="Calibri"/>
                <w:sz w:val="24"/>
                <w:szCs w:val="24"/>
                <w:lang w:val="es-AR"/>
              </w:rPr>
              <w:t xml:space="preserve">, desde la perspectiva del </w:t>
            </w:r>
            <w:r w:rsidR="000427EE">
              <w:rPr>
                <w:rFonts w:cs="Calibri"/>
                <w:sz w:val="24"/>
                <w:szCs w:val="24"/>
                <w:lang w:val="es-AR"/>
              </w:rPr>
              <w:t>e</w:t>
            </w:r>
            <w:r>
              <w:rPr>
                <w:rFonts w:cs="Calibri"/>
                <w:sz w:val="24"/>
                <w:szCs w:val="24"/>
                <w:lang w:val="es-AR"/>
              </w:rPr>
              <w:t>ncuadre.</w:t>
            </w:r>
          </w:p>
          <w:p w14:paraId="49EF51A7" w14:textId="39167B56" w:rsidR="00DB2DD3" w:rsidRPr="00A32921" w:rsidRDefault="004C14F3" w:rsidP="00A35C35">
            <w:pPr>
              <w:pStyle w:val="Normal1"/>
              <w:numPr>
                <w:ilvl w:val="0"/>
                <w:numId w:val="10"/>
              </w:numPr>
              <w:pBdr>
                <w:top w:val="nil"/>
                <w:left w:val="nil"/>
                <w:bottom w:val="nil"/>
                <w:right w:val="nil"/>
                <w:between w:val="nil"/>
              </w:pBdr>
              <w:spacing w:line="276" w:lineRule="auto"/>
              <w:contextualSpacing/>
              <w:jc w:val="both"/>
              <w:rPr>
                <w:rFonts w:cs="Calibri"/>
                <w:sz w:val="24"/>
                <w:szCs w:val="24"/>
                <w:lang w:val="es-AR"/>
              </w:rPr>
            </w:pPr>
            <w:r w:rsidRPr="00A32921">
              <w:rPr>
                <w:rFonts w:cs="Calibri"/>
                <w:sz w:val="24"/>
                <w:szCs w:val="24"/>
                <w:lang w:val="es-AR"/>
              </w:rPr>
              <w:t>R</w:t>
            </w:r>
            <w:r w:rsidR="008716E1" w:rsidRPr="00A32921">
              <w:rPr>
                <w:rFonts w:cs="Calibri"/>
                <w:sz w:val="24"/>
                <w:szCs w:val="24"/>
                <w:lang w:val="es-AR"/>
              </w:rPr>
              <w:t>eflexiona</w:t>
            </w:r>
            <w:r w:rsidR="00A35C35">
              <w:rPr>
                <w:rFonts w:cs="Calibri"/>
                <w:sz w:val="24"/>
                <w:szCs w:val="24"/>
                <w:lang w:val="es-AR"/>
              </w:rPr>
              <w:t xml:space="preserve"> </w:t>
            </w:r>
            <w:r w:rsidR="008716E1" w:rsidRPr="00A32921">
              <w:rPr>
                <w:rFonts w:cs="Calibri"/>
                <w:sz w:val="24"/>
                <w:szCs w:val="24"/>
                <w:lang w:val="es-AR"/>
              </w:rPr>
              <w:t xml:space="preserve">acerca del vínculo entre medios de comunicación y actores sociales </w:t>
            </w:r>
            <w:r w:rsidRPr="00A32921">
              <w:rPr>
                <w:rFonts w:cs="Calibri"/>
                <w:sz w:val="24"/>
                <w:szCs w:val="24"/>
                <w:lang w:val="es-AR"/>
              </w:rPr>
              <w:t>-</w:t>
            </w:r>
            <w:r w:rsidR="008716E1" w:rsidRPr="00A32921">
              <w:rPr>
                <w:rFonts w:cs="Calibri"/>
                <w:sz w:val="24"/>
                <w:szCs w:val="24"/>
                <w:lang w:val="es-AR"/>
              </w:rPr>
              <w:t>y sus acciones colectivas</w:t>
            </w:r>
            <w:r w:rsidRPr="00A32921">
              <w:rPr>
                <w:rFonts w:cs="Calibri"/>
                <w:sz w:val="24"/>
                <w:szCs w:val="24"/>
                <w:lang w:val="es-AR"/>
              </w:rPr>
              <w:t>-</w:t>
            </w:r>
            <w:r w:rsidR="008716E1" w:rsidRPr="00A32921">
              <w:rPr>
                <w:rFonts w:cs="Calibri"/>
                <w:sz w:val="24"/>
                <w:szCs w:val="24"/>
                <w:lang w:val="es-AR"/>
              </w:rPr>
              <w:t xml:space="preserve"> y, en esa línea, cómo se juegan las relaciones de poder en dicha convivencia y </w:t>
            </w:r>
            <w:r w:rsidR="008716E1" w:rsidRPr="00A32921">
              <w:rPr>
                <w:rFonts w:cs="Calibri"/>
                <w:sz w:val="24"/>
                <w:szCs w:val="24"/>
              </w:rPr>
              <w:t>ejercitar las técnicas utilizadas por este enfoque conceptual, para el análisis de las distintas instancias del proceso comunicacional.</w:t>
            </w:r>
          </w:p>
        </w:tc>
      </w:tr>
    </w:tbl>
    <w:p w14:paraId="4393D1DA" w14:textId="469FE9DC" w:rsidR="00602CEA" w:rsidRDefault="00602CEA">
      <w:pPr>
        <w:pStyle w:val="Normal1"/>
        <w:spacing w:after="0" w:line="276" w:lineRule="auto"/>
        <w:rPr>
          <w:b/>
          <w:sz w:val="24"/>
          <w:szCs w:val="24"/>
        </w:rPr>
      </w:pPr>
    </w:p>
    <w:p w14:paraId="18E67F13" w14:textId="3BBB20A0" w:rsidR="00602CEA" w:rsidRDefault="00044C74" w:rsidP="00044C74">
      <w:pPr>
        <w:pStyle w:val="Normal1"/>
        <w:pBdr>
          <w:top w:val="nil"/>
          <w:left w:val="nil"/>
          <w:bottom w:val="nil"/>
          <w:right w:val="nil"/>
          <w:between w:val="nil"/>
        </w:pBdr>
        <w:spacing w:after="0" w:line="276" w:lineRule="auto"/>
        <w:ind w:left="426"/>
        <w:contextualSpacing/>
        <w:rPr>
          <w:b/>
          <w:color w:val="000000"/>
          <w:sz w:val="24"/>
          <w:szCs w:val="24"/>
        </w:rPr>
      </w:pPr>
      <w:r>
        <w:rPr>
          <w:b/>
          <w:color w:val="000000"/>
          <w:sz w:val="24"/>
          <w:szCs w:val="24"/>
        </w:rPr>
        <w:t xml:space="preserve">VI. </w:t>
      </w:r>
      <w:r w:rsidR="006179C4">
        <w:rPr>
          <w:b/>
          <w:color w:val="000000"/>
          <w:sz w:val="24"/>
          <w:szCs w:val="24"/>
        </w:rPr>
        <w:t>Contenidos</w:t>
      </w:r>
    </w:p>
    <w:tbl>
      <w:tblPr>
        <w:tblStyle w:val="a4"/>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10E64158" w14:textId="77777777">
        <w:tc>
          <w:tcPr>
            <w:tcW w:w="9620" w:type="dxa"/>
          </w:tcPr>
          <w:p w14:paraId="52DF20FC" w14:textId="77777777" w:rsidR="008716E1" w:rsidRDefault="008716E1" w:rsidP="000427EE">
            <w:pPr>
              <w:pStyle w:val="Normal1"/>
              <w:pBdr>
                <w:top w:val="nil"/>
                <w:left w:val="nil"/>
                <w:bottom w:val="nil"/>
                <w:right w:val="nil"/>
                <w:between w:val="nil"/>
              </w:pBdr>
              <w:spacing w:line="276" w:lineRule="auto"/>
              <w:contextualSpacing/>
              <w:jc w:val="both"/>
              <w:rPr>
                <w:color w:val="000000"/>
                <w:sz w:val="24"/>
                <w:szCs w:val="24"/>
              </w:rPr>
            </w:pPr>
            <w:r w:rsidRPr="000427EE">
              <w:rPr>
                <w:b/>
                <w:bCs/>
                <w:color w:val="000000"/>
                <w:sz w:val="24"/>
                <w:szCs w:val="24"/>
              </w:rPr>
              <w:t>Unidad 1</w:t>
            </w:r>
            <w:r w:rsidRPr="008716E1">
              <w:rPr>
                <w:color w:val="000000"/>
                <w:sz w:val="24"/>
                <w:szCs w:val="24"/>
              </w:rPr>
              <w:t>. Antecedentes epistemológicos y conceptuales del Framing.</w:t>
            </w:r>
            <w:r w:rsidR="00B52C98">
              <w:rPr>
                <w:color w:val="000000"/>
                <w:sz w:val="24"/>
                <w:szCs w:val="24"/>
              </w:rPr>
              <w:t xml:space="preserve"> </w:t>
            </w:r>
          </w:p>
          <w:p w14:paraId="141E059F" w14:textId="77777777" w:rsidR="00B52C98" w:rsidRPr="008716E1" w:rsidRDefault="00B52C98" w:rsidP="000427EE">
            <w:pPr>
              <w:pStyle w:val="Normal1"/>
              <w:pBdr>
                <w:top w:val="nil"/>
                <w:left w:val="nil"/>
                <w:bottom w:val="nil"/>
                <w:right w:val="nil"/>
                <w:between w:val="nil"/>
              </w:pBdr>
              <w:spacing w:line="276" w:lineRule="auto"/>
              <w:contextualSpacing/>
              <w:jc w:val="both"/>
              <w:rPr>
                <w:color w:val="000000"/>
                <w:sz w:val="24"/>
                <w:szCs w:val="24"/>
              </w:rPr>
            </w:pPr>
          </w:p>
          <w:p w14:paraId="550148C6" w14:textId="77777777" w:rsidR="008716E1" w:rsidRPr="008716E1" w:rsidRDefault="008716E1" w:rsidP="000427EE">
            <w:pPr>
              <w:pStyle w:val="Normal1"/>
              <w:pBdr>
                <w:top w:val="nil"/>
                <w:left w:val="nil"/>
                <w:bottom w:val="nil"/>
                <w:right w:val="nil"/>
                <w:between w:val="nil"/>
              </w:pBdr>
              <w:spacing w:line="276" w:lineRule="auto"/>
              <w:contextualSpacing/>
              <w:jc w:val="both"/>
              <w:rPr>
                <w:color w:val="000000"/>
                <w:sz w:val="24"/>
                <w:szCs w:val="24"/>
              </w:rPr>
            </w:pPr>
            <w:r w:rsidRPr="000427EE">
              <w:rPr>
                <w:b/>
                <w:bCs/>
                <w:color w:val="000000"/>
                <w:sz w:val="24"/>
                <w:szCs w:val="24"/>
              </w:rPr>
              <w:t>Unidad 2.</w:t>
            </w:r>
            <w:r w:rsidRPr="008716E1">
              <w:rPr>
                <w:color w:val="000000"/>
                <w:sz w:val="24"/>
                <w:szCs w:val="24"/>
              </w:rPr>
              <w:t xml:space="preserve">  El Framing como enfoque integral de la comunicación. Encuadres de los emisores, encuadres de las noticias y encuadres de las audiencias. </w:t>
            </w:r>
          </w:p>
          <w:p w14:paraId="16E0E8B8" w14:textId="77777777" w:rsidR="00B52C98" w:rsidRDefault="00B52C98" w:rsidP="000427EE">
            <w:pPr>
              <w:pStyle w:val="Normal1"/>
              <w:pBdr>
                <w:top w:val="nil"/>
                <w:left w:val="nil"/>
                <w:bottom w:val="nil"/>
                <w:right w:val="nil"/>
                <w:between w:val="nil"/>
              </w:pBdr>
              <w:spacing w:line="276" w:lineRule="auto"/>
              <w:contextualSpacing/>
              <w:jc w:val="both"/>
              <w:rPr>
                <w:color w:val="000000"/>
                <w:sz w:val="24"/>
                <w:szCs w:val="24"/>
              </w:rPr>
            </w:pPr>
          </w:p>
          <w:p w14:paraId="2D51BCFB" w14:textId="77777777" w:rsidR="008716E1" w:rsidRPr="008716E1" w:rsidRDefault="008716E1" w:rsidP="000427EE">
            <w:pPr>
              <w:pStyle w:val="Normal1"/>
              <w:pBdr>
                <w:top w:val="nil"/>
                <w:left w:val="nil"/>
                <w:bottom w:val="nil"/>
                <w:right w:val="nil"/>
                <w:between w:val="nil"/>
              </w:pBdr>
              <w:spacing w:line="276" w:lineRule="auto"/>
              <w:contextualSpacing/>
              <w:jc w:val="both"/>
              <w:rPr>
                <w:color w:val="000000"/>
                <w:sz w:val="24"/>
                <w:szCs w:val="24"/>
              </w:rPr>
            </w:pPr>
            <w:r w:rsidRPr="000427EE">
              <w:rPr>
                <w:b/>
                <w:bCs/>
                <w:color w:val="000000"/>
                <w:sz w:val="24"/>
                <w:szCs w:val="24"/>
              </w:rPr>
              <w:t>Unidad 3.</w:t>
            </w:r>
            <w:r w:rsidRPr="008716E1">
              <w:rPr>
                <w:color w:val="000000"/>
                <w:sz w:val="24"/>
                <w:szCs w:val="24"/>
              </w:rPr>
              <w:t xml:space="preserve"> Discusión teórico-metodológica con la Agenda Setting.</w:t>
            </w:r>
          </w:p>
          <w:p w14:paraId="4D4C9463" w14:textId="77777777" w:rsidR="00B52C98" w:rsidRDefault="00B52C98" w:rsidP="000427EE">
            <w:pPr>
              <w:pStyle w:val="Normal1"/>
              <w:pBdr>
                <w:top w:val="nil"/>
                <w:left w:val="nil"/>
                <w:bottom w:val="nil"/>
                <w:right w:val="nil"/>
                <w:between w:val="nil"/>
              </w:pBdr>
              <w:spacing w:line="276" w:lineRule="auto"/>
              <w:contextualSpacing/>
              <w:jc w:val="both"/>
              <w:rPr>
                <w:color w:val="000000"/>
                <w:sz w:val="24"/>
                <w:szCs w:val="24"/>
              </w:rPr>
            </w:pPr>
          </w:p>
          <w:p w14:paraId="7FA2500F" w14:textId="1C51091D" w:rsidR="00041FAC" w:rsidRPr="00C43199" w:rsidRDefault="008716E1" w:rsidP="000427EE">
            <w:pPr>
              <w:pStyle w:val="Normal1"/>
              <w:pBdr>
                <w:top w:val="nil"/>
                <w:left w:val="nil"/>
                <w:bottom w:val="nil"/>
                <w:right w:val="nil"/>
                <w:between w:val="nil"/>
              </w:pBdr>
              <w:spacing w:line="276" w:lineRule="auto"/>
              <w:contextualSpacing/>
              <w:jc w:val="both"/>
              <w:rPr>
                <w:color w:val="000000"/>
                <w:sz w:val="24"/>
                <w:szCs w:val="24"/>
              </w:rPr>
            </w:pPr>
            <w:r w:rsidRPr="000427EE">
              <w:rPr>
                <w:b/>
                <w:bCs/>
                <w:color w:val="000000"/>
                <w:sz w:val="24"/>
                <w:szCs w:val="24"/>
              </w:rPr>
              <w:t>Unidad 4.</w:t>
            </w:r>
            <w:r w:rsidRPr="008716E1">
              <w:rPr>
                <w:color w:val="000000"/>
                <w:sz w:val="24"/>
                <w:szCs w:val="24"/>
              </w:rPr>
              <w:t xml:space="preserve"> Estudios empíricos y herramientas metodológicas para el análisis de los encuadres.</w:t>
            </w:r>
          </w:p>
        </w:tc>
      </w:tr>
    </w:tbl>
    <w:p w14:paraId="28C689D4" w14:textId="77777777" w:rsidR="00042705" w:rsidRDefault="00042705">
      <w:pPr>
        <w:pStyle w:val="Normal1"/>
        <w:spacing w:after="0" w:line="276" w:lineRule="auto"/>
        <w:rPr>
          <w:b/>
          <w:sz w:val="24"/>
          <w:szCs w:val="24"/>
        </w:rPr>
      </w:pPr>
    </w:p>
    <w:p w14:paraId="0D8760E2" w14:textId="19A2F9AC" w:rsidR="00602CEA" w:rsidRDefault="00C43199" w:rsidP="00C43199">
      <w:pPr>
        <w:pStyle w:val="Normal1"/>
        <w:pBdr>
          <w:top w:val="nil"/>
          <w:left w:val="nil"/>
          <w:bottom w:val="nil"/>
          <w:right w:val="nil"/>
          <w:between w:val="nil"/>
        </w:pBdr>
        <w:spacing w:after="0" w:line="276" w:lineRule="auto"/>
        <w:ind w:left="426"/>
        <w:contextualSpacing/>
        <w:rPr>
          <w:b/>
          <w:color w:val="000000"/>
          <w:sz w:val="24"/>
          <w:szCs w:val="24"/>
        </w:rPr>
      </w:pPr>
      <w:r>
        <w:rPr>
          <w:b/>
          <w:color w:val="000000"/>
          <w:sz w:val="24"/>
          <w:szCs w:val="24"/>
        </w:rPr>
        <w:t xml:space="preserve">VII. </w:t>
      </w:r>
      <w:r w:rsidR="006179C4">
        <w:rPr>
          <w:b/>
          <w:color w:val="000000"/>
          <w:sz w:val="24"/>
          <w:szCs w:val="24"/>
        </w:rPr>
        <w:t>Metodologías y estrategias de enseñanza-aprendizaje</w:t>
      </w:r>
    </w:p>
    <w:tbl>
      <w:tblPr>
        <w:tblStyle w:val="a5"/>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6BB32CBF" w14:textId="77777777" w:rsidTr="00107DC2">
        <w:tc>
          <w:tcPr>
            <w:tcW w:w="9620" w:type="dxa"/>
          </w:tcPr>
          <w:p w14:paraId="27352479" w14:textId="77777777" w:rsidR="00B6492D" w:rsidRPr="000059A5" w:rsidRDefault="00B6492D" w:rsidP="00B6492D">
            <w:pPr>
              <w:spacing w:line="276" w:lineRule="auto"/>
              <w:rPr>
                <w:b/>
                <w:sz w:val="24"/>
                <w:szCs w:val="24"/>
                <w:lang w:val="es-ES"/>
              </w:rPr>
            </w:pPr>
            <w:r w:rsidRPr="000059A5">
              <w:rPr>
                <w:b/>
                <w:sz w:val="24"/>
                <w:szCs w:val="24"/>
                <w:lang w:val="es-ES"/>
              </w:rPr>
              <w:t>Metodología de la clase:</w:t>
            </w:r>
          </w:p>
          <w:p w14:paraId="4BB1BF31" w14:textId="7A86BBDF" w:rsidR="00B6492D" w:rsidRPr="000059A5" w:rsidRDefault="00B6492D" w:rsidP="00B6492D">
            <w:pPr>
              <w:pStyle w:val="Prrafodelista"/>
              <w:numPr>
                <w:ilvl w:val="0"/>
                <w:numId w:val="14"/>
              </w:numPr>
              <w:spacing w:line="276" w:lineRule="auto"/>
              <w:rPr>
                <w:b/>
                <w:sz w:val="24"/>
                <w:szCs w:val="24"/>
                <w:lang w:val="es-ES"/>
              </w:rPr>
            </w:pPr>
            <w:r w:rsidRPr="000059A5">
              <w:rPr>
                <w:sz w:val="24"/>
                <w:szCs w:val="24"/>
                <w:lang w:val="es-ES"/>
              </w:rPr>
              <w:t>Clases expositivas con apoyo de presentaciones PowerPoint</w:t>
            </w:r>
          </w:p>
          <w:p w14:paraId="704D5C1A" w14:textId="6B00724D" w:rsidR="00B6492D" w:rsidRPr="000059A5" w:rsidRDefault="000059A5" w:rsidP="00B6492D">
            <w:pPr>
              <w:pStyle w:val="Prrafodelista"/>
              <w:numPr>
                <w:ilvl w:val="0"/>
                <w:numId w:val="14"/>
              </w:numPr>
              <w:spacing w:line="276" w:lineRule="auto"/>
              <w:rPr>
                <w:b/>
                <w:sz w:val="24"/>
                <w:szCs w:val="24"/>
                <w:lang w:val="es-ES"/>
              </w:rPr>
            </w:pPr>
            <w:r>
              <w:rPr>
                <w:sz w:val="24"/>
                <w:szCs w:val="24"/>
                <w:lang w:val="es-ES"/>
              </w:rPr>
              <w:t>Diálogo y d</w:t>
            </w:r>
            <w:r w:rsidR="00B6492D" w:rsidRPr="000059A5">
              <w:rPr>
                <w:sz w:val="24"/>
                <w:szCs w:val="24"/>
                <w:lang w:val="es-ES"/>
              </w:rPr>
              <w:t xml:space="preserve">iscusión grupal </w:t>
            </w:r>
          </w:p>
          <w:p w14:paraId="3CC502E9" w14:textId="77777777" w:rsidR="00B6492D" w:rsidRPr="000059A5" w:rsidRDefault="00B6492D" w:rsidP="00B6492D">
            <w:pPr>
              <w:spacing w:line="276" w:lineRule="auto"/>
              <w:rPr>
                <w:b/>
                <w:sz w:val="24"/>
                <w:szCs w:val="24"/>
                <w:lang w:val="es-ES"/>
              </w:rPr>
            </w:pPr>
          </w:p>
          <w:p w14:paraId="371C6ADA" w14:textId="77777777" w:rsidR="00602CEA" w:rsidRPr="000059A5" w:rsidRDefault="00B6492D" w:rsidP="00B6492D">
            <w:pPr>
              <w:spacing w:line="276" w:lineRule="auto"/>
              <w:rPr>
                <w:b/>
                <w:sz w:val="24"/>
                <w:szCs w:val="24"/>
                <w:lang w:val="es-ES"/>
              </w:rPr>
            </w:pPr>
            <w:r w:rsidRPr="000059A5">
              <w:rPr>
                <w:b/>
                <w:sz w:val="24"/>
                <w:szCs w:val="24"/>
                <w:lang w:val="es-ES"/>
              </w:rPr>
              <w:t>Trabajo autónomo de los estudiantes:</w:t>
            </w:r>
          </w:p>
          <w:p w14:paraId="43131C22" w14:textId="77777777" w:rsidR="00B6492D" w:rsidRPr="000059A5" w:rsidRDefault="00B6492D" w:rsidP="00B6492D">
            <w:pPr>
              <w:pStyle w:val="Prrafodelista"/>
              <w:numPr>
                <w:ilvl w:val="0"/>
                <w:numId w:val="13"/>
              </w:numPr>
              <w:spacing w:line="276" w:lineRule="auto"/>
              <w:rPr>
                <w:sz w:val="24"/>
                <w:szCs w:val="24"/>
                <w:lang w:val="es-ES"/>
              </w:rPr>
            </w:pPr>
            <w:r w:rsidRPr="000059A5">
              <w:rPr>
                <w:sz w:val="24"/>
                <w:szCs w:val="24"/>
                <w:lang w:val="es-ES"/>
              </w:rPr>
              <w:t>Lectura</w:t>
            </w:r>
          </w:p>
          <w:p w14:paraId="70DAED02" w14:textId="77777777" w:rsidR="00B6492D" w:rsidRPr="000059A5" w:rsidRDefault="00B6492D" w:rsidP="00B6492D">
            <w:pPr>
              <w:pStyle w:val="Prrafodelista"/>
              <w:numPr>
                <w:ilvl w:val="0"/>
                <w:numId w:val="13"/>
              </w:numPr>
              <w:spacing w:line="276" w:lineRule="auto"/>
              <w:rPr>
                <w:sz w:val="24"/>
                <w:szCs w:val="24"/>
                <w:lang w:val="es-ES"/>
              </w:rPr>
            </w:pPr>
            <w:r w:rsidRPr="000059A5">
              <w:rPr>
                <w:sz w:val="24"/>
                <w:szCs w:val="24"/>
                <w:lang w:val="es-ES"/>
              </w:rPr>
              <w:t xml:space="preserve">Análisis de artículos </w:t>
            </w:r>
          </w:p>
          <w:p w14:paraId="3B7752E0" w14:textId="5DA15234" w:rsidR="00B6492D" w:rsidRPr="00B6492D" w:rsidRDefault="00B6492D" w:rsidP="00B6492D">
            <w:pPr>
              <w:pStyle w:val="Prrafodelista"/>
              <w:numPr>
                <w:ilvl w:val="0"/>
                <w:numId w:val="13"/>
              </w:numPr>
              <w:spacing w:line="276" w:lineRule="auto"/>
              <w:rPr>
                <w:sz w:val="24"/>
                <w:szCs w:val="24"/>
                <w:lang w:val="es-ES"/>
              </w:rPr>
            </w:pPr>
            <w:r w:rsidRPr="000059A5">
              <w:rPr>
                <w:sz w:val="24"/>
                <w:szCs w:val="24"/>
                <w:lang w:val="es-ES"/>
              </w:rPr>
              <w:t>Preparación de Informe</w:t>
            </w:r>
          </w:p>
        </w:tc>
      </w:tr>
    </w:tbl>
    <w:p w14:paraId="3AA19065" w14:textId="77777777" w:rsidR="009F6B56" w:rsidRDefault="009F6B56" w:rsidP="009F6B56">
      <w:pPr>
        <w:pStyle w:val="Normal1"/>
        <w:pBdr>
          <w:top w:val="nil"/>
          <w:left w:val="nil"/>
          <w:bottom w:val="nil"/>
          <w:right w:val="nil"/>
          <w:between w:val="nil"/>
        </w:pBdr>
        <w:spacing w:after="0" w:line="276" w:lineRule="auto"/>
        <w:ind w:left="360"/>
        <w:contextualSpacing/>
        <w:rPr>
          <w:b/>
          <w:color w:val="000000"/>
          <w:sz w:val="24"/>
          <w:szCs w:val="24"/>
        </w:rPr>
      </w:pPr>
    </w:p>
    <w:p w14:paraId="53C87F44" w14:textId="5D56B9EE" w:rsidR="00602CEA" w:rsidRDefault="000427EE" w:rsidP="000427EE">
      <w:pPr>
        <w:pStyle w:val="Normal1"/>
        <w:pBdr>
          <w:top w:val="nil"/>
          <w:left w:val="nil"/>
          <w:bottom w:val="nil"/>
          <w:right w:val="nil"/>
          <w:between w:val="nil"/>
        </w:pBdr>
        <w:spacing w:after="0" w:line="276" w:lineRule="auto"/>
        <w:ind w:left="426"/>
        <w:contextualSpacing/>
        <w:rPr>
          <w:b/>
          <w:color w:val="000000"/>
          <w:sz w:val="24"/>
          <w:szCs w:val="24"/>
        </w:rPr>
      </w:pPr>
      <w:r>
        <w:rPr>
          <w:b/>
          <w:color w:val="000000"/>
          <w:sz w:val="24"/>
          <w:szCs w:val="24"/>
        </w:rPr>
        <w:t xml:space="preserve">VIII. </w:t>
      </w:r>
      <w:r w:rsidR="006179C4">
        <w:rPr>
          <w:b/>
          <w:color w:val="000000"/>
          <w:sz w:val="24"/>
          <w:szCs w:val="24"/>
        </w:rPr>
        <w:t>Evaluación</w:t>
      </w:r>
    </w:p>
    <w:tbl>
      <w:tblPr>
        <w:tblStyle w:val="a6"/>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5DE364C5" w14:textId="77777777">
        <w:tc>
          <w:tcPr>
            <w:tcW w:w="9620" w:type="dxa"/>
          </w:tcPr>
          <w:p w14:paraId="671A9E01" w14:textId="0D057F9A" w:rsidR="000059A5" w:rsidRDefault="000059A5" w:rsidP="000427EE">
            <w:pPr>
              <w:pStyle w:val="Normal1"/>
              <w:pBdr>
                <w:top w:val="nil"/>
                <w:left w:val="nil"/>
                <w:bottom w:val="nil"/>
                <w:right w:val="nil"/>
                <w:between w:val="nil"/>
              </w:pBdr>
              <w:spacing w:line="276" w:lineRule="auto"/>
              <w:ind w:left="25"/>
              <w:contextualSpacing/>
              <w:jc w:val="both"/>
              <w:rPr>
                <w:color w:val="000000"/>
                <w:sz w:val="24"/>
                <w:szCs w:val="24"/>
              </w:rPr>
            </w:pPr>
            <w:r>
              <w:rPr>
                <w:color w:val="000000"/>
                <w:sz w:val="24"/>
                <w:szCs w:val="24"/>
              </w:rPr>
              <w:t>Se contempla las siguientes evaluaciones:</w:t>
            </w:r>
          </w:p>
          <w:p w14:paraId="4284E727" w14:textId="3A2767F9" w:rsidR="000059A5" w:rsidRDefault="000059A5" w:rsidP="000427EE">
            <w:pPr>
              <w:pStyle w:val="Normal1"/>
              <w:pBdr>
                <w:top w:val="nil"/>
                <w:left w:val="nil"/>
                <w:bottom w:val="nil"/>
                <w:right w:val="nil"/>
                <w:between w:val="nil"/>
              </w:pBdr>
              <w:spacing w:line="276" w:lineRule="auto"/>
              <w:ind w:left="25"/>
              <w:contextualSpacing/>
              <w:jc w:val="both"/>
              <w:rPr>
                <w:color w:val="000000"/>
                <w:sz w:val="24"/>
                <w:szCs w:val="24"/>
              </w:rPr>
            </w:pPr>
            <w:r>
              <w:rPr>
                <w:color w:val="000000"/>
                <w:sz w:val="24"/>
                <w:szCs w:val="24"/>
              </w:rPr>
              <w:t>Avance ensayo/monográfico</w:t>
            </w:r>
            <w:r w:rsidR="00C62174">
              <w:rPr>
                <w:color w:val="000000"/>
                <w:sz w:val="24"/>
                <w:szCs w:val="24"/>
              </w:rPr>
              <w:t xml:space="preserve"> (RA 1 y 2)</w:t>
            </w:r>
            <w:r>
              <w:rPr>
                <w:color w:val="000000"/>
                <w:sz w:val="24"/>
                <w:szCs w:val="24"/>
              </w:rPr>
              <w:t>: 50%</w:t>
            </w:r>
          </w:p>
          <w:p w14:paraId="13B33ACC" w14:textId="5E6F245B" w:rsidR="00DB2DD3" w:rsidRPr="00107DC2" w:rsidRDefault="000059A5" w:rsidP="000427EE">
            <w:pPr>
              <w:pStyle w:val="Normal1"/>
              <w:pBdr>
                <w:top w:val="nil"/>
                <w:left w:val="nil"/>
                <w:bottom w:val="nil"/>
                <w:right w:val="nil"/>
                <w:between w:val="nil"/>
              </w:pBdr>
              <w:spacing w:line="276" w:lineRule="auto"/>
              <w:ind w:left="25"/>
              <w:contextualSpacing/>
              <w:jc w:val="both"/>
              <w:rPr>
                <w:color w:val="000000"/>
                <w:sz w:val="24"/>
                <w:szCs w:val="24"/>
              </w:rPr>
            </w:pPr>
            <w:r>
              <w:rPr>
                <w:color w:val="000000"/>
                <w:sz w:val="24"/>
                <w:szCs w:val="24"/>
              </w:rPr>
              <w:t>Entrega final ensayo/monográfico</w:t>
            </w:r>
            <w:r w:rsidR="00C62174">
              <w:rPr>
                <w:color w:val="000000"/>
                <w:sz w:val="24"/>
                <w:szCs w:val="24"/>
              </w:rPr>
              <w:t xml:space="preserve"> (RA 1 y 2)</w:t>
            </w:r>
            <w:r>
              <w:rPr>
                <w:color w:val="000000"/>
                <w:sz w:val="24"/>
                <w:szCs w:val="24"/>
              </w:rPr>
              <w:t>: 50%</w:t>
            </w:r>
          </w:p>
        </w:tc>
      </w:tr>
      <w:tr w:rsidR="00602CEA" w14:paraId="7C50DC67" w14:textId="77777777">
        <w:tc>
          <w:tcPr>
            <w:tcW w:w="9620" w:type="dxa"/>
            <w:shd w:val="clear" w:color="auto" w:fill="DEEBF6"/>
          </w:tcPr>
          <w:p w14:paraId="779DD066" w14:textId="77777777" w:rsidR="00602CEA" w:rsidRDefault="006179C4">
            <w:pPr>
              <w:pStyle w:val="Normal1"/>
              <w:spacing w:line="276" w:lineRule="auto"/>
              <w:jc w:val="both"/>
              <w:rPr>
                <w:b/>
                <w:sz w:val="24"/>
                <w:szCs w:val="24"/>
              </w:rPr>
            </w:pPr>
            <w:r w:rsidRPr="006E7E5C">
              <w:rPr>
                <w:b/>
                <w:szCs w:val="22"/>
              </w:rPr>
              <w:t>PLAGIO: es el uso de un trabajo, idea o creación de otra persona, sin citar la apropiada referencia y constituye una falta ética. En la actualidad, con las herramientas de informática es fácilmente detectable. En ninguna actividad curricular se acepta el plagio, ya sea en presentaciones orales, escritas o visuales, por lo que quien lo cometa será sancionado académicamente.</w:t>
            </w:r>
          </w:p>
        </w:tc>
      </w:tr>
    </w:tbl>
    <w:p w14:paraId="4524454B" w14:textId="77777777" w:rsidR="00602CEA" w:rsidRDefault="00602CEA">
      <w:pPr>
        <w:pStyle w:val="Normal1"/>
        <w:spacing w:after="0" w:line="276" w:lineRule="auto"/>
        <w:rPr>
          <w:b/>
          <w:sz w:val="24"/>
          <w:szCs w:val="24"/>
        </w:rPr>
      </w:pPr>
    </w:p>
    <w:p w14:paraId="1B831B0D" w14:textId="5102F53A" w:rsidR="00602CEA" w:rsidRDefault="00442E6C" w:rsidP="004C66CB">
      <w:pPr>
        <w:pStyle w:val="Normal1"/>
        <w:pBdr>
          <w:top w:val="nil"/>
          <w:left w:val="nil"/>
          <w:bottom w:val="nil"/>
          <w:right w:val="nil"/>
          <w:between w:val="nil"/>
        </w:pBdr>
        <w:spacing w:after="0" w:line="276" w:lineRule="auto"/>
        <w:ind w:left="360"/>
        <w:contextualSpacing/>
        <w:rPr>
          <w:b/>
          <w:color w:val="000000"/>
          <w:sz w:val="24"/>
          <w:szCs w:val="24"/>
        </w:rPr>
      </w:pPr>
      <w:r>
        <w:rPr>
          <w:b/>
          <w:color w:val="000000"/>
          <w:sz w:val="24"/>
          <w:szCs w:val="24"/>
        </w:rPr>
        <w:t xml:space="preserve">IX. </w:t>
      </w:r>
      <w:r w:rsidR="006179C4">
        <w:rPr>
          <w:b/>
          <w:color w:val="000000"/>
          <w:sz w:val="24"/>
          <w:szCs w:val="24"/>
        </w:rPr>
        <w:t>Bibliografía y Recursos</w:t>
      </w:r>
    </w:p>
    <w:tbl>
      <w:tblPr>
        <w:tblStyle w:val="a7"/>
        <w:tblW w:w="9620"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620"/>
      </w:tblGrid>
      <w:tr w:rsidR="00602CEA" w14:paraId="26F54B2C" w14:textId="77777777">
        <w:tc>
          <w:tcPr>
            <w:tcW w:w="9620" w:type="dxa"/>
            <w:shd w:val="clear" w:color="auto" w:fill="DEEBF6"/>
          </w:tcPr>
          <w:p w14:paraId="0FB17C2C" w14:textId="77777777" w:rsidR="00602CEA" w:rsidRDefault="006179C4">
            <w:pPr>
              <w:pStyle w:val="Normal1"/>
              <w:spacing w:line="276" w:lineRule="auto"/>
              <w:rPr>
                <w:b/>
                <w:sz w:val="24"/>
                <w:szCs w:val="24"/>
              </w:rPr>
            </w:pPr>
            <w:r>
              <w:rPr>
                <w:b/>
                <w:sz w:val="24"/>
                <w:szCs w:val="24"/>
              </w:rPr>
              <w:t>Básica</w:t>
            </w:r>
          </w:p>
        </w:tc>
      </w:tr>
      <w:tr w:rsidR="00602CEA" w:rsidRPr="00B52C98" w14:paraId="77F68073" w14:textId="77777777">
        <w:tc>
          <w:tcPr>
            <w:tcW w:w="9620" w:type="dxa"/>
          </w:tcPr>
          <w:p w14:paraId="5BA24671" w14:textId="77777777" w:rsidR="00B52C98" w:rsidRPr="00442E6C" w:rsidRDefault="00B52C98" w:rsidP="006273B9">
            <w:pPr>
              <w:spacing w:after="120" w:line="276" w:lineRule="auto"/>
              <w:jc w:val="both"/>
              <w:rPr>
                <w:sz w:val="24"/>
                <w:szCs w:val="24"/>
              </w:rPr>
            </w:pPr>
            <w:r w:rsidRPr="00442E6C">
              <w:rPr>
                <w:sz w:val="24"/>
                <w:szCs w:val="24"/>
              </w:rPr>
              <w:lastRenderedPageBreak/>
              <w:t xml:space="preserve">Amadeo, B. (2008). Framing: Modelo para armar. En M. T. Baquerín (Ed.), Los medios ¿aliados o enemigos del público? (pp. 183-237). Buenos Aires: Educa. </w:t>
            </w:r>
          </w:p>
          <w:p w14:paraId="7B755443"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Aruguete</w:t>
            </w:r>
            <w:r w:rsidRPr="00442E6C">
              <w:rPr>
                <w:sz w:val="24"/>
                <w:szCs w:val="24"/>
              </w:rPr>
              <w:t xml:space="preserve">, N. &amp; Koziner, N. (2020). Pluralismo en la prensa chilena. Propuesta metodológica para el estudio de la cobertura del tema mapuche (pp. 283-303). Leyendo el tejido social, Temuco: UFRO. </w:t>
            </w:r>
          </w:p>
          <w:p w14:paraId="5F2E7630"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Aruguete</w:t>
            </w:r>
            <w:r w:rsidRPr="00442E6C">
              <w:rPr>
                <w:sz w:val="24"/>
                <w:szCs w:val="24"/>
              </w:rPr>
              <w:t xml:space="preserve">, N. (2011). Framing. La perspectiva de las noticias. La Trama de la comunicación, 15, 67-80. </w:t>
            </w:r>
          </w:p>
          <w:p w14:paraId="1479065A" w14:textId="77777777" w:rsidR="00B52C98" w:rsidRPr="00442E6C" w:rsidRDefault="00B52C98" w:rsidP="006273B9">
            <w:pPr>
              <w:spacing w:after="120" w:line="276" w:lineRule="auto"/>
              <w:jc w:val="both"/>
              <w:rPr>
                <w:rFonts w:eastAsia="Times New Roman"/>
                <w:sz w:val="24"/>
                <w:szCs w:val="24"/>
                <w:lang w:eastAsia="es-AR"/>
              </w:rPr>
            </w:pPr>
            <w:r w:rsidRPr="00442E6C">
              <w:rPr>
                <w:rFonts w:eastAsia="Times New Roman"/>
                <w:sz w:val="24"/>
                <w:szCs w:val="24"/>
                <w:lang w:eastAsia="es-AR"/>
              </w:rPr>
              <w:t xml:space="preserve">Bateson, G. (1988). Una teoría del juego y de la fantasía. En Pasos hacia una ecología de la mente. Una aproximación revolucionaria a la autocomprensión del hombre (1° ed., pp. 205–221). Ciudad Autónoma de Buenos Aires: Lohlé Lumen.  </w:t>
            </w:r>
          </w:p>
          <w:p w14:paraId="01F5684A" w14:textId="77777777" w:rsidR="00B52C98" w:rsidRPr="00442E6C" w:rsidRDefault="00B52C98" w:rsidP="006273B9">
            <w:pPr>
              <w:spacing w:after="120" w:line="276" w:lineRule="auto"/>
              <w:jc w:val="both"/>
              <w:rPr>
                <w:rFonts w:eastAsia="Times New Roman"/>
                <w:sz w:val="24"/>
                <w:szCs w:val="24"/>
                <w:lang w:eastAsia="es-AR"/>
              </w:rPr>
            </w:pPr>
            <w:r w:rsidRPr="00442E6C">
              <w:rPr>
                <w:rFonts w:eastAsia="Times New Roman"/>
                <w:sz w:val="24"/>
                <w:szCs w:val="24"/>
                <w:lang w:eastAsia="es-AR"/>
              </w:rPr>
              <w:t xml:space="preserve">Berger, P. y Luckmann, T. (1968). La sociedad como realidad objetiva. En La construcción social de la realidad (pp. 66-163). Buenos Aires: Amorrortu Editores. </w:t>
            </w:r>
          </w:p>
          <w:p w14:paraId="3EAE9E33"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Entman</w:t>
            </w:r>
            <w:r w:rsidRPr="00442E6C">
              <w:rPr>
                <w:sz w:val="24"/>
                <w:szCs w:val="24"/>
                <w:lang w:val="en-US"/>
              </w:rPr>
              <w:t xml:space="preserve">, R. (1993). Framing: Toward a clarification of a fractured paradigm. </w:t>
            </w:r>
            <w:r w:rsidRPr="00442E6C">
              <w:rPr>
                <w:sz w:val="24"/>
                <w:szCs w:val="24"/>
              </w:rPr>
              <w:t>Journal of Communication, 43(3), 51-58. (</w:t>
            </w:r>
            <w:r w:rsidRPr="00442E6C">
              <w:rPr>
                <w:i/>
                <w:sz w:val="24"/>
                <w:szCs w:val="24"/>
              </w:rPr>
              <w:t>Este texto lo envío también en versión en español pero tómenlo con pinzas</w:t>
            </w:r>
            <w:r w:rsidRPr="00442E6C">
              <w:rPr>
                <w:sz w:val="24"/>
                <w:szCs w:val="24"/>
              </w:rPr>
              <w:t>)</w:t>
            </w:r>
          </w:p>
          <w:p w14:paraId="4BF7D0AA"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Gitlin</w:t>
            </w:r>
            <w:r w:rsidRPr="00442E6C">
              <w:rPr>
                <w:sz w:val="24"/>
                <w:szCs w:val="24"/>
              </w:rPr>
              <w:t xml:space="preserve">, T. (1986). Convertir a los movimientos de protesta en temas periodísticos. En Graber, D., El poder de los medios en la política (pp. 289-302). Buenos Aires: Grupo Editorial Latinoamericano. </w:t>
            </w:r>
          </w:p>
          <w:p w14:paraId="7D0CD4D5" w14:textId="77777777" w:rsidR="00B52C98" w:rsidRPr="00442E6C" w:rsidRDefault="00B52C98" w:rsidP="006273B9">
            <w:pPr>
              <w:spacing w:line="276" w:lineRule="auto"/>
              <w:jc w:val="both"/>
              <w:rPr>
                <w:rFonts w:eastAsia="Times New Roman"/>
                <w:sz w:val="24"/>
                <w:szCs w:val="24"/>
                <w:lang w:eastAsia="es-AR"/>
              </w:rPr>
            </w:pPr>
            <w:r w:rsidRPr="00442E6C">
              <w:rPr>
                <w:rFonts w:eastAsia="Times New Roman"/>
                <w:sz w:val="24"/>
                <w:szCs w:val="24"/>
                <w:lang w:eastAsia="es-AR"/>
              </w:rPr>
              <w:t xml:space="preserve">Goffman, E. (2006). Introducción. En Frame Analysis. Los marcos de la experiencia. Madrid: Centro de Investigaciones Sociológicas (CIS), Siglo XXI Editores. (Introducción y Capítulo 1) </w:t>
            </w:r>
          </w:p>
          <w:p w14:paraId="704DEFBA"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Koziner</w:t>
            </w:r>
            <w:r w:rsidRPr="00442E6C">
              <w:rPr>
                <w:sz w:val="24"/>
                <w:szCs w:val="24"/>
              </w:rPr>
              <w:t xml:space="preserve">, N. &amp; Aruguete, N (2017). Políticas de comunicación en la prensa gráfica argentina. Intersecciones en Comunicación, 10, 31-49. </w:t>
            </w:r>
          </w:p>
          <w:p w14:paraId="78F2B89D" w14:textId="77777777" w:rsidR="00B52C98" w:rsidRPr="00442E6C" w:rsidRDefault="00B52C98" w:rsidP="006273B9">
            <w:pPr>
              <w:spacing w:after="120" w:line="276" w:lineRule="auto"/>
              <w:jc w:val="both"/>
              <w:rPr>
                <w:rFonts w:eastAsia="Times New Roman"/>
                <w:sz w:val="24"/>
                <w:szCs w:val="24"/>
                <w:lang w:eastAsia="es-AR"/>
              </w:rPr>
            </w:pPr>
            <w:r w:rsidRPr="00442E6C">
              <w:rPr>
                <w:rFonts w:eastAsia="Times New Roman"/>
                <w:sz w:val="24"/>
                <w:szCs w:val="24"/>
                <w:lang w:eastAsia="es-AR"/>
              </w:rPr>
              <w:t xml:space="preserve">Koziner, N. (2013). Antecedentes y fundamentos de la teoría del Framing en comunicación. Austral Comunicación, 2 (1), 1-25. </w:t>
            </w:r>
          </w:p>
          <w:p w14:paraId="12A15D98" w14:textId="77777777" w:rsidR="00B52C98" w:rsidRPr="00442E6C" w:rsidRDefault="00B52C98" w:rsidP="006273B9">
            <w:pPr>
              <w:spacing w:after="120" w:line="276" w:lineRule="auto"/>
              <w:jc w:val="both"/>
              <w:rPr>
                <w:sz w:val="24"/>
                <w:szCs w:val="24"/>
              </w:rPr>
            </w:pPr>
            <w:r w:rsidRPr="00442E6C">
              <w:rPr>
                <w:rFonts w:eastAsia="Times New Roman"/>
                <w:sz w:val="24"/>
                <w:szCs w:val="24"/>
                <w:lang w:eastAsia="es-AR"/>
              </w:rPr>
              <w:t>Koziner</w:t>
            </w:r>
            <w:r w:rsidRPr="00442E6C">
              <w:rPr>
                <w:sz w:val="24"/>
                <w:szCs w:val="24"/>
              </w:rPr>
              <w:t xml:space="preserve">, N. (2018). Periodistas y fuentes de información en la prensa económica argentina. Una revisión teórica a partir del caso de la Ley de Servicios de Comunicación Audiovisual. Revista Mexicana de Opinión Pública, 13, 147-167. </w:t>
            </w:r>
          </w:p>
          <w:p w14:paraId="2B51B0C0" w14:textId="79869978" w:rsidR="00DB2DD3" w:rsidRPr="00442E6C" w:rsidRDefault="00B52C98" w:rsidP="006273B9">
            <w:pPr>
              <w:spacing w:after="120" w:line="276" w:lineRule="auto"/>
              <w:jc w:val="both"/>
              <w:rPr>
                <w:sz w:val="24"/>
                <w:szCs w:val="24"/>
              </w:rPr>
            </w:pPr>
            <w:r w:rsidRPr="00442E6C">
              <w:rPr>
                <w:rFonts w:eastAsia="Times New Roman"/>
                <w:sz w:val="24"/>
                <w:szCs w:val="24"/>
                <w:lang w:eastAsia="es-AR"/>
              </w:rPr>
              <w:t>Rodelo</w:t>
            </w:r>
            <w:r w:rsidRPr="00442E6C">
              <w:rPr>
                <w:sz w:val="24"/>
                <w:szCs w:val="24"/>
              </w:rPr>
              <w:t xml:space="preserve">, F. V., &amp; Muñiz, C. (2016). La orientación política del periódico y su influencia en la presencia de encuadres y asuntos dentro de las noticias. Estudios sobre el mensaje periodístico, 23(1), 241-256. </w:t>
            </w:r>
          </w:p>
        </w:tc>
      </w:tr>
      <w:tr w:rsidR="00602CEA" w14:paraId="1F873785" w14:textId="77777777">
        <w:tc>
          <w:tcPr>
            <w:tcW w:w="9620" w:type="dxa"/>
            <w:shd w:val="clear" w:color="auto" w:fill="DEEBF6"/>
          </w:tcPr>
          <w:p w14:paraId="46AABFA7" w14:textId="77777777" w:rsidR="00602CEA" w:rsidRDefault="006179C4">
            <w:pPr>
              <w:pStyle w:val="Normal1"/>
              <w:spacing w:line="276" w:lineRule="auto"/>
              <w:rPr>
                <w:b/>
                <w:sz w:val="24"/>
                <w:szCs w:val="24"/>
              </w:rPr>
            </w:pPr>
            <w:r>
              <w:rPr>
                <w:b/>
                <w:sz w:val="24"/>
                <w:szCs w:val="24"/>
              </w:rPr>
              <w:t>Complementaria</w:t>
            </w:r>
          </w:p>
        </w:tc>
      </w:tr>
      <w:tr w:rsidR="00602CEA" w14:paraId="6FDB596F" w14:textId="77777777">
        <w:tc>
          <w:tcPr>
            <w:tcW w:w="9620" w:type="dxa"/>
          </w:tcPr>
          <w:p w14:paraId="35664AF7" w14:textId="77777777" w:rsidR="00B52C98" w:rsidRPr="00442E6C" w:rsidRDefault="00B52C98" w:rsidP="006273B9">
            <w:pPr>
              <w:spacing w:after="120" w:line="276" w:lineRule="auto"/>
              <w:jc w:val="both"/>
              <w:rPr>
                <w:sz w:val="24"/>
                <w:szCs w:val="24"/>
              </w:rPr>
            </w:pPr>
            <w:r w:rsidRPr="00442E6C">
              <w:rPr>
                <w:sz w:val="24"/>
                <w:szCs w:val="24"/>
              </w:rPr>
              <w:t>Koziner, N. (2015). El Framing: un programa de investigación para el estudio de las comunicaciones mediáticas. Animus. Revista Interamericana de Comunicação Midiática, 14(28), 22–45.</w:t>
            </w:r>
          </w:p>
          <w:p w14:paraId="3056A5B8" w14:textId="77777777" w:rsidR="00B52C98" w:rsidRPr="00442E6C" w:rsidRDefault="00B52C98" w:rsidP="006273B9">
            <w:pPr>
              <w:spacing w:after="120" w:line="276" w:lineRule="auto"/>
              <w:jc w:val="both"/>
              <w:rPr>
                <w:sz w:val="24"/>
                <w:szCs w:val="24"/>
              </w:rPr>
            </w:pPr>
            <w:r w:rsidRPr="00442E6C">
              <w:rPr>
                <w:sz w:val="24"/>
                <w:szCs w:val="24"/>
              </w:rPr>
              <w:t xml:space="preserve">Koziner, N., Zunino, E., &amp; Aruguete, N. (2018). Las fuentes de la corrupción. Voces del Fénix, 76-81.  </w:t>
            </w:r>
          </w:p>
          <w:p w14:paraId="07206255" w14:textId="77777777" w:rsidR="00B52C98" w:rsidRPr="00442E6C" w:rsidRDefault="00B52C98" w:rsidP="006273B9">
            <w:pPr>
              <w:spacing w:line="276" w:lineRule="auto"/>
              <w:jc w:val="both"/>
              <w:rPr>
                <w:sz w:val="24"/>
                <w:szCs w:val="24"/>
              </w:rPr>
            </w:pPr>
            <w:r w:rsidRPr="00442E6C">
              <w:rPr>
                <w:sz w:val="24"/>
                <w:szCs w:val="24"/>
                <w:lang w:val="en-US"/>
              </w:rPr>
              <w:t xml:space="preserve">Reese, S. D. (2007). The Framing Project: A Bridging Model for Media Research Revisited. </w:t>
            </w:r>
            <w:r w:rsidRPr="00442E6C">
              <w:rPr>
                <w:sz w:val="24"/>
                <w:szCs w:val="24"/>
              </w:rPr>
              <w:t xml:space="preserve">Journal of Communication, 57(1), 148–154. </w:t>
            </w:r>
          </w:p>
          <w:p w14:paraId="00690C3B" w14:textId="77777777" w:rsidR="00B52C98" w:rsidRPr="00442E6C" w:rsidRDefault="00B52C98" w:rsidP="006273B9">
            <w:pPr>
              <w:spacing w:after="120" w:line="276" w:lineRule="auto"/>
              <w:jc w:val="both"/>
              <w:rPr>
                <w:sz w:val="24"/>
                <w:szCs w:val="24"/>
              </w:rPr>
            </w:pPr>
            <w:r w:rsidRPr="00442E6C">
              <w:rPr>
                <w:sz w:val="24"/>
                <w:szCs w:val="24"/>
              </w:rPr>
              <w:t xml:space="preserve">Retegui, L. (2017). La construcción de la noticia desde el lugar del emisor. Una revisión del newsmaking. Revista mexicana de opinión pública, (23), 103-121. </w:t>
            </w:r>
          </w:p>
          <w:p w14:paraId="5906F37F" w14:textId="77777777" w:rsidR="00B52C98" w:rsidRPr="00442E6C" w:rsidRDefault="00B52C98" w:rsidP="006273B9">
            <w:pPr>
              <w:spacing w:after="120" w:line="276" w:lineRule="auto"/>
              <w:jc w:val="both"/>
              <w:rPr>
                <w:rFonts w:eastAsia="Times New Roman"/>
                <w:sz w:val="24"/>
                <w:szCs w:val="24"/>
                <w:lang w:eastAsia="es-AR"/>
              </w:rPr>
            </w:pPr>
            <w:r w:rsidRPr="00442E6C">
              <w:rPr>
                <w:rFonts w:eastAsia="Times New Roman"/>
                <w:sz w:val="24"/>
                <w:szCs w:val="24"/>
                <w:lang w:eastAsia="es-AR"/>
              </w:rPr>
              <w:t>Thomas, W. (2005). La definición de la situación. CIC, 10, 27-32.</w:t>
            </w:r>
          </w:p>
          <w:p w14:paraId="7AB83496" w14:textId="77777777" w:rsidR="00B52C98" w:rsidRPr="00442E6C" w:rsidRDefault="00B52C98" w:rsidP="006273B9">
            <w:pPr>
              <w:spacing w:after="120" w:line="276" w:lineRule="auto"/>
              <w:jc w:val="both"/>
              <w:rPr>
                <w:sz w:val="24"/>
                <w:szCs w:val="24"/>
              </w:rPr>
            </w:pPr>
            <w:r w:rsidRPr="00442E6C">
              <w:rPr>
                <w:sz w:val="24"/>
                <w:szCs w:val="24"/>
              </w:rPr>
              <w:t xml:space="preserve">Tuchman, G. (1983). La noticia como marco. En La producción de la noticia. Estudio sobre la construcción de la realidad (pp. 13-28). México DF: Gili. </w:t>
            </w:r>
          </w:p>
          <w:p w14:paraId="2169B898" w14:textId="7D634A19" w:rsidR="00DB2DD3" w:rsidRPr="00442E6C" w:rsidRDefault="00B52C98" w:rsidP="006273B9">
            <w:pPr>
              <w:spacing w:after="120" w:line="276" w:lineRule="auto"/>
              <w:jc w:val="both"/>
              <w:rPr>
                <w:sz w:val="24"/>
                <w:szCs w:val="24"/>
              </w:rPr>
            </w:pPr>
            <w:r w:rsidRPr="00442E6C">
              <w:rPr>
                <w:sz w:val="24"/>
                <w:szCs w:val="24"/>
              </w:rPr>
              <w:lastRenderedPageBreak/>
              <w:t>Vicente Mariño, M. &amp; López Rabadán, P. (2009). Resultados actuales de la investigación sobre framing: sólido avance internacional y arranque de la especialidad en España. Zer, 14(26), 13-34.</w:t>
            </w:r>
          </w:p>
        </w:tc>
      </w:tr>
      <w:tr w:rsidR="00602CEA" w14:paraId="06A51ECC" w14:textId="77777777">
        <w:tc>
          <w:tcPr>
            <w:tcW w:w="9620" w:type="dxa"/>
            <w:shd w:val="clear" w:color="auto" w:fill="DEEBF6"/>
          </w:tcPr>
          <w:p w14:paraId="4D02FCB2" w14:textId="77777777" w:rsidR="00602CEA" w:rsidRDefault="006179C4">
            <w:pPr>
              <w:pStyle w:val="Normal1"/>
              <w:spacing w:line="276" w:lineRule="auto"/>
              <w:rPr>
                <w:b/>
                <w:sz w:val="24"/>
                <w:szCs w:val="24"/>
              </w:rPr>
            </w:pPr>
            <w:r>
              <w:rPr>
                <w:b/>
                <w:sz w:val="24"/>
                <w:szCs w:val="24"/>
              </w:rPr>
              <w:lastRenderedPageBreak/>
              <w:t>Recursos</w:t>
            </w:r>
          </w:p>
        </w:tc>
      </w:tr>
      <w:tr w:rsidR="00602CEA" w14:paraId="6474273A" w14:textId="77777777">
        <w:tc>
          <w:tcPr>
            <w:tcW w:w="9620" w:type="dxa"/>
            <w:shd w:val="clear" w:color="auto" w:fill="auto"/>
          </w:tcPr>
          <w:p w14:paraId="2D8C4482" w14:textId="77777777" w:rsidR="00B52C98" w:rsidRPr="006273B9" w:rsidRDefault="00B52C98" w:rsidP="006273B9">
            <w:pPr>
              <w:jc w:val="both"/>
              <w:rPr>
                <w:rFonts w:eastAsia="Times New Roman" w:cs="Times New Roman"/>
                <w:sz w:val="24"/>
                <w:szCs w:val="24"/>
              </w:rPr>
            </w:pPr>
            <w:r w:rsidRPr="006273B9">
              <w:rPr>
                <w:rFonts w:eastAsia="Times New Roman" w:cs="Times New Roman"/>
                <w:sz w:val="24"/>
                <w:szCs w:val="24"/>
              </w:rPr>
              <w:t xml:space="preserve">Se utiliza la plataforma zoom para las clases remotas sincrónicas. </w:t>
            </w:r>
          </w:p>
          <w:p w14:paraId="079B1B54" w14:textId="76979B7C" w:rsidR="00DB2DD3" w:rsidRPr="00231673" w:rsidRDefault="00B52C98" w:rsidP="006273B9">
            <w:pPr>
              <w:jc w:val="both"/>
              <w:rPr>
                <w:rFonts w:eastAsia="Times New Roman" w:cs="Times New Roman"/>
              </w:rPr>
            </w:pPr>
            <w:r w:rsidRPr="006273B9">
              <w:rPr>
                <w:rFonts w:eastAsia="Times New Roman" w:cs="Times New Roman"/>
                <w:sz w:val="24"/>
                <w:szCs w:val="24"/>
              </w:rPr>
              <w:t>En forma paralela, se sube el material digitalizado a una plataforma. Dicho material se compone de la bibliografía obligatoria y complementaria, de una guía de clase elaborada por la docente en la plataforma exe-learning y de una serie de videos que procuran brindar mayores herramientas didácticas al estudiante para el abordaje y mejor comprensión de los objetivos</w:t>
            </w:r>
            <w:r w:rsidR="006273B9">
              <w:rPr>
                <w:rFonts w:eastAsia="Times New Roman" w:cs="Times New Roman"/>
                <w:sz w:val="24"/>
                <w:szCs w:val="24"/>
              </w:rPr>
              <w:t>.</w:t>
            </w:r>
          </w:p>
        </w:tc>
      </w:tr>
    </w:tbl>
    <w:p w14:paraId="5711C15F" w14:textId="77777777" w:rsidR="00602CEA" w:rsidRDefault="00602CEA">
      <w:pPr>
        <w:pStyle w:val="Normal1"/>
        <w:spacing w:after="0" w:line="276" w:lineRule="auto"/>
        <w:rPr>
          <w:b/>
          <w:sz w:val="24"/>
          <w:szCs w:val="24"/>
        </w:rPr>
      </w:pPr>
    </w:p>
    <w:sectPr w:rsidR="00602CEA" w:rsidSect="00B54405">
      <w:headerReference w:type="default" r:id="rId7"/>
      <w:pgSz w:w="12240" w:h="20160" w:code="5"/>
      <w:pgMar w:top="851" w:right="1418" w:bottom="1418" w:left="1418"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231F" w14:textId="77777777" w:rsidR="003608F1" w:rsidRDefault="003608F1">
      <w:pPr>
        <w:spacing w:after="0" w:line="240" w:lineRule="auto"/>
      </w:pPr>
      <w:r>
        <w:separator/>
      </w:r>
    </w:p>
  </w:endnote>
  <w:endnote w:type="continuationSeparator" w:id="0">
    <w:p w14:paraId="76D6F7D4" w14:textId="77777777" w:rsidR="003608F1" w:rsidRDefault="0036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E4AE" w14:textId="77777777" w:rsidR="003608F1" w:rsidRDefault="003608F1">
      <w:pPr>
        <w:spacing w:after="0" w:line="240" w:lineRule="auto"/>
      </w:pPr>
      <w:r>
        <w:separator/>
      </w:r>
    </w:p>
  </w:footnote>
  <w:footnote w:type="continuationSeparator" w:id="0">
    <w:p w14:paraId="678923AA" w14:textId="77777777" w:rsidR="003608F1" w:rsidRDefault="0036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9B76" w14:textId="7396B5FA" w:rsidR="00231673" w:rsidRDefault="00231673">
    <w:pPr>
      <w:pStyle w:val="Encabezado"/>
    </w:pPr>
    <w:r>
      <w:rPr>
        <w:noProof/>
        <w:lang w:val="es-CL" w:eastAsia="es-CL"/>
      </w:rPr>
      <w:drawing>
        <wp:inline distT="0" distB="0" distL="0" distR="0" wp14:anchorId="58848756" wp14:editId="0CD5E58C">
          <wp:extent cx="5971540" cy="955446"/>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955446"/>
                  </a:xfrm>
                  <a:prstGeom prst="rect">
                    <a:avLst/>
                  </a:prstGeom>
                  <a:noFill/>
                  <a:ln>
                    <a:noFill/>
                  </a:ln>
                </pic:spPr>
              </pic:pic>
            </a:graphicData>
          </a:graphic>
        </wp:inline>
      </w:drawing>
    </w:r>
  </w:p>
  <w:p w14:paraId="04D3ED93" w14:textId="77777777" w:rsidR="00231673" w:rsidRDefault="002316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C89"/>
    <w:multiLevelType w:val="multilevel"/>
    <w:tmpl w:val="BDDE7510"/>
    <w:lvl w:ilvl="0">
      <w:start w:val="1"/>
      <w:numFmt w:val="bullet"/>
      <w:lvlText w:val="●"/>
      <w:lvlJc w:val="left"/>
      <w:pPr>
        <w:ind w:left="328" w:hanging="360"/>
      </w:pPr>
      <w:rPr>
        <w:rFonts w:ascii="Noto Sans Symbols" w:eastAsia="Noto Sans Symbols" w:hAnsi="Noto Sans Symbols" w:cs="Noto Sans Symbols"/>
      </w:rPr>
    </w:lvl>
    <w:lvl w:ilvl="1">
      <w:start w:val="1"/>
      <w:numFmt w:val="bullet"/>
      <w:lvlText w:val="o"/>
      <w:lvlJc w:val="left"/>
      <w:pPr>
        <w:ind w:left="1048" w:hanging="360"/>
      </w:pPr>
      <w:rPr>
        <w:rFonts w:ascii="Courier New" w:eastAsia="Courier New" w:hAnsi="Courier New" w:cs="Courier New"/>
      </w:rPr>
    </w:lvl>
    <w:lvl w:ilvl="2">
      <w:start w:val="1"/>
      <w:numFmt w:val="bullet"/>
      <w:lvlText w:val="▪"/>
      <w:lvlJc w:val="left"/>
      <w:pPr>
        <w:ind w:left="1768" w:hanging="360"/>
      </w:pPr>
      <w:rPr>
        <w:rFonts w:ascii="Noto Sans Symbols" w:eastAsia="Noto Sans Symbols" w:hAnsi="Noto Sans Symbols" w:cs="Noto Sans Symbols"/>
      </w:rPr>
    </w:lvl>
    <w:lvl w:ilvl="3">
      <w:start w:val="1"/>
      <w:numFmt w:val="bullet"/>
      <w:lvlText w:val="●"/>
      <w:lvlJc w:val="left"/>
      <w:pPr>
        <w:ind w:left="2488" w:hanging="360"/>
      </w:pPr>
      <w:rPr>
        <w:rFonts w:ascii="Noto Sans Symbols" w:eastAsia="Noto Sans Symbols" w:hAnsi="Noto Sans Symbols" w:cs="Noto Sans Symbols"/>
      </w:rPr>
    </w:lvl>
    <w:lvl w:ilvl="4">
      <w:start w:val="1"/>
      <w:numFmt w:val="bullet"/>
      <w:lvlText w:val="o"/>
      <w:lvlJc w:val="left"/>
      <w:pPr>
        <w:ind w:left="3208" w:hanging="360"/>
      </w:pPr>
      <w:rPr>
        <w:rFonts w:ascii="Courier New" w:eastAsia="Courier New" w:hAnsi="Courier New" w:cs="Courier New"/>
      </w:rPr>
    </w:lvl>
    <w:lvl w:ilvl="5">
      <w:start w:val="1"/>
      <w:numFmt w:val="bullet"/>
      <w:lvlText w:val="▪"/>
      <w:lvlJc w:val="left"/>
      <w:pPr>
        <w:ind w:left="3928" w:hanging="360"/>
      </w:pPr>
      <w:rPr>
        <w:rFonts w:ascii="Noto Sans Symbols" w:eastAsia="Noto Sans Symbols" w:hAnsi="Noto Sans Symbols" w:cs="Noto Sans Symbols"/>
      </w:rPr>
    </w:lvl>
    <w:lvl w:ilvl="6">
      <w:start w:val="1"/>
      <w:numFmt w:val="bullet"/>
      <w:lvlText w:val="●"/>
      <w:lvlJc w:val="left"/>
      <w:pPr>
        <w:ind w:left="4648" w:hanging="360"/>
      </w:pPr>
      <w:rPr>
        <w:rFonts w:ascii="Noto Sans Symbols" w:eastAsia="Noto Sans Symbols" w:hAnsi="Noto Sans Symbols" w:cs="Noto Sans Symbols"/>
      </w:rPr>
    </w:lvl>
    <w:lvl w:ilvl="7">
      <w:start w:val="1"/>
      <w:numFmt w:val="bullet"/>
      <w:lvlText w:val="o"/>
      <w:lvlJc w:val="left"/>
      <w:pPr>
        <w:ind w:left="5368" w:hanging="360"/>
      </w:pPr>
      <w:rPr>
        <w:rFonts w:ascii="Courier New" w:eastAsia="Courier New" w:hAnsi="Courier New" w:cs="Courier New"/>
      </w:rPr>
    </w:lvl>
    <w:lvl w:ilvl="8">
      <w:start w:val="1"/>
      <w:numFmt w:val="bullet"/>
      <w:lvlText w:val="▪"/>
      <w:lvlJc w:val="left"/>
      <w:pPr>
        <w:ind w:left="6088" w:hanging="360"/>
      </w:pPr>
      <w:rPr>
        <w:rFonts w:ascii="Noto Sans Symbols" w:eastAsia="Noto Sans Symbols" w:hAnsi="Noto Sans Symbols" w:cs="Noto Sans Symbols"/>
      </w:rPr>
    </w:lvl>
  </w:abstractNum>
  <w:abstractNum w:abstractNumId="1" w15:restartNumberingAfterBreak="0">
    <w:nsid w:val="05037A48"/>
    <w:multiLevelType w:val="multilevel"/>
    <w:tmpl w:val="EEAA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766882"/>
    <w:multiLevelType w:val="multilevel"/>
    <w:tmpl w:val="47CE05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210F8"/>
    <w:multiLevelType w:val="hybridMultilevel"/>
    <w:tmpl w:val="1A883DAC"/>
    <w:lvl w:ilvl="0" w:tplc="31F26850">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C4072B"/>
    <w:multiLevelType w:val="hybridMultilevel"/>
    <w:tmpl w:val="4052F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5719B"/>
    <w:multiLevelType w:val="multilevel"/>
    <w:tmpl w:val="1700BFC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860484"/>
    <w:multiLevelType w:val="hybridMultilevel"/>
    <w:tmpl w:val="D7A45C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FE00084"/>
    <w:multiLevelType w:val="hybridMultilevel"/>
    <w:tmpl w:val="F1620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DC2C2F"/>
    <w:multiLevelType w:val="hybridMultilevel"/>
    <w:tmpl w:val="6AD6FC5E"/>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08F68F3"/>
    <w:multiLevelType w:val="hybridMultilevel"/>
    <w:tmpl w:val="A3C65E1A"/>
    <w:lvl w:ilvl="0" w:tplc="31F26850">
      <w:start w:val="4"/>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12B5D78"/>
    <w:multiLevelType w:val="hybridMultilevel"/>
    <w:tmpl w:val="1784AA00"/>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3BE13C4"/>
    <w:multiLevelType w:val="multilevel"/>
    <w:tmpl w:val="0172E256"/>
    <w:lvl w:ilvl="0">
      <w:start w:val="1"/>
      <w:numFmt w:val="bullet"/>
      <w:lvlText w:val="●"/>
      <w:lvlJc w:val="left"/>
      <w:pPr>
        <w:ind w:left="2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460" w:hanging="360"/>
      </w:pPr>
      <w:rPr>
        <w:rFonts w:ascii="Noto Sans Symbols" w:eastAsia="Noto Sans Symbols" w:hAnsi="Noto Sans Symbols" w:cs="Noto Sans Symbols"/>
      </w:rPr>
    </w:lvl>
    <w:lvl w:ilvl="3">
      <w:start w:val="1"/>
      <w:numFmt w:val="bullet"/>
      <w:lvlText w:val="●"/>
      <w:lvlJc w:val="left"/>
      <w:pPr>
        <w:ind w:left="2180" w:hanging="360"/>
      </w:pPr>
      <w:rPr>
        <w:rFonts w:ascii="Noto Sans Symbols" w:eastAsia="Noto Sans Symbols" w:hAnsi="Noto Sans Symbols" w:cs="Noto Sans Symbols"/>
      </w:rPr>
    </w:lvl>
    <w:lvl w:ilvl="4">
      <w:start w:val="1"/>
      <w:numFmt w:val="bullet"/>
      <w:lvlText w:val="o"/>
      <w:lvlJc w:val="left"/>
      <w:pPr>
        <w:ind w:left="2900" w:hanging="360"/>
      </w:pPr>
      <w:rPr>
        <w:rFonts w:ascii="Courier New" w:eastAsia="Courier New" w:hAnsi="Courier New" w:cs="Courier New"/>
      </w:rPr>
    </w:lvl>
    <w:lvl w:ilvl="5">
      <w:start w:val="1"/>
      <w:numFmt w:val="bullet"/>
      <w:lvlText w:val="▪"/>
      <w:lvlJc w:val="left"/>
      <w:pPr>
        <w:ind w:left="3620" w:hanging="360"/>
      </w:pPr>
      <w:rPr>
        <w:rFonts w:ascii="Noto Sans Symbols" w:eastAsia="Noto Sans Symbols" w:hAnsi="Noto Sans Symbols" w:cs="Noto Sans Symbols"/>
      </w:rPr>
    </w:lvl>
    <w:lvl w:ilvl="6">
      <w:start w:val="1"/>
      <w:numFmt w:val="bullet"/>
      <w:lvlText w:val="●"/>
      <w:lvlJc w:val="left"/>
      <w:pPr>
        <w:ind w:left="4340" w:hanging="360"/>
      </w:pPr>
      <w:rPr>
        <w:rFonts w:ascii="Noto Sans Symbols" w:eastAsia="Noto Sans Symbols" w:hAnsi="Noto Sans Symbols" w:cs="Noto Sans Symbols"/>
      </w:rPr>
    </w:lvl>
    <w:lvl w:ilvl="7">
      <w:start w:val="1"/>
      <w:numFmt w:val="bullet"/>
      <w:lvlText w:val="o"/>
      <w:lvlJc w:val="left"/>
      <w:pPr>
        <w:ind w:left="5060" w:hanging="360"/>
      </w:pPr>
      <w:rPr>
        <w:rFonts w:ascii="Courier New" w:eastAsia="Courier New" w:hAnsi="Courier New" w:cs="Courier New"/>
      </w:rPr>
    </w:lvl>
    <w:lvl w:ilvl="8">
      <w:start w:val="1"/>
      <w:numFmt w:val="bullet"/>
      <w:lvlText w:val="▪"/>
      <w:lvlJc w:val="left"/>
      <w:pPr>
        <w:ind w:left="5780" w:hanging="360"/>
      </w:pPr>
      <w:rPr>
        <w:rFonts w:ascii="Noto Sans Symbols" w:eastAsia="Noto Sans Symbols" w:hAnsi="Noto Sans Symbols" w:cs="Noto Sans Symbols"/>
      </w:rPr>
    </w:lvl>
  </w:abstractNum>
  <w:abstractNum w:abstractNumId="12" w15:restartNumberingAfterBreak="0">
    <w:nsid w:val="480B1684"/>
    <w:multiLevelType w:val="hybridMultilevel"/>
    <w:tmpl w:val="AC000978"/>
    <w:lvl w:ilvl="0" w:tplc="A91282C2">
      <w:start w:val="9"/>
      <w:numFmt w:val="upperRoman"/>
      <w:lvlText w:val="%1."/>
      <w:lvlJc w:val="left"/>
      <w:pPr>
        <w:ind w:left="1080" w:hanging="72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CFF183C"/>
    <w:multiLevelType w:val="hybridMultilevel"/>
    <w:tmpl w:val="C8701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9"/>
  </w:num>
  <w:num w:numId="7">
    <w:abstractNumId w:val="10"/>
  </w:num>
  <w:num w:numId="8">
    <w:abstractNumId w:val="8"/>
  </w:num>
  <w:num w:numId="9">
    <w:abstractNumId w:val="6"/>
  </w:num>
  <w:num w:numId="10">
    <w:abstractNumId w:val="5"/>
  </w:num>
  <w:num w:numId="11">
    <w:abstractNumId w:val="12"/>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EA"/>
    <w:rsid w:val="000059A5"/>
    <w:rsid w:val="00012E83"/>
    <w:rsid w:val="00021D6A"/>
    <w:rsid w:val="00041FAC"/>
    <w:rsid w:val="00042705"/>
    <w:rsid w:val="000427EE"/>
    <w:rsid w:val="00044C74"/>
    <w:rsid w:val="000661C2"/>
    <w:rsid w:val="000773C6"/>
    <w:rsid w:val="00081DAA"/>
    <w:rsid w:val="0009524A"/>
    <w:rsid w:val="000A0B37"/>
    <w:rsid w:val="000E36EE"/>
    <w:rsid w:val="000F334B"/>
    <w:rsid w:val="00107DC2"/>
    <w:rsid w:val="001364D3"/>
    <w:rsid w:val="001756EE"/>
    <w:rsid w:val="001A1C34"/>
    <w:rsid w:val="001D56FB"/>
    <w:rsid w:val="00231673"/>
    <w:rsid w:val="00231D01"/>
    <w:rsid w:val="0026166D"/>
    <w:rsid w:val="00266672"/>
    <w:rsid w:val="0027377B"/>
    <w:rsid w:val="00294A20"/>
    <w:rsid w:val="00295472"/>
    <w:rsid w:val="002A0DF6"/>
    <w:rsid w:val="002A74FD"/>
    <w:rsid w:val="002D67D7"/>
    <w:rsid w:val="002E392F"/>
    <w:rsid w:val="00340224"/>
    <w:rsid w:val="003454E9"/>
    <w:rsid w:val="00345D7F"/>
    <w:rsid w:val="00360667"/>
    <w:rsid w:val="003608F1"/>
    <w:rsid w:val="003759D8"/>
    <w:rsid w:val="00393A15"/>
    <w:rsid w:val="00397680"/>
    <w:rsid w:val="003E36C5"/>
    <w:rsid w:val="003F4C71"/>
    <w:rsid w:val="00442E6C"/>
    <w:rsid w:val="0045005C"/>
    <w:rsid w:val="004876A1"/>
    <w:rsid w:val="0049281B"/>
    <w:rsid w:val="004A2895"/>
    <w:rsid w:val="004B403B"/>
    <w:rsid w:val="004C14F3"/>
    <w:rsid w:val="004C20A2"/>
    <w:rsid w:val="004C66CB"/>
    <w:rsid w:val="004E63A7"/>
    <w:rsid w:val="004F33C7"/>
    <w:rsid w:val="00512F6D"/>
    <w:rsid w:val="00516148"/>
    <w:rsid w:val="00523210"/>
    <w:rsid w:val="00527F25"/>
    <w:rsid w:val="00573379"/>
    <w:rsid w:val="005B481F"/>
    <w:rsid w:val="005C49C9"/>
    <w:rsid w:val="00602CEA"/>
    <w:rsid w:val="006179C4"/>
    <w:rsid w:val="00621E94"/>
    <w:rsid w:val="006272A7"/>
    <w:rsid w:val="006273B9"/>
    <w:rsid w:val="006337B1"/>
    <w:rsid w:val="006B4BF2"/>
    <w:rsid w:val="006E7E5C"/>
    <w:rsid w:val="0076438F"/>
    <w:rsid w:val="0078376F"/>
    <w:rsid w:val="007B076D"/>
    <w:rsid w:val="007D2A73"/>
    <w:rsid w:val="007E3311"/>
    <w:rsid w:val="00812C2B"/>
    <w:rsid w:val="00830980"/>
    <w:rsid w:val="00850B90"/>
    <w:rsid w:val="00851783"/>
    <w:rsid w:val="0086413C"/>
    <w:rsid w:val="00865A80"/>
    <w:rsid w:val="008716E1"/>
    <w:rsid w:val="00872E6C"/>
    <w:rsid w:val="00875A92"/>
    <w:rsid w:val="008D3457"/>
    <w:rsid w:val="008D6927"/>
    <w:rsid w:val="008F1FCF"/>
    <w:rsid w:val="00904069"/>
    <w:rsid w:val="00920C41"/>
    <w:rsid w:val="009639EA"/>
    <w:rsid w:val="009709E0"/>
    <w:rsid w:val="00993C38"/>
    <w:rsid w:val="009A365A"/>
    <w:rsid w:val="009D0EE5"/>
    <w:rsid w:val="009D10AC"/>
    <w:rsid w:val="009D1326"/>
    <w:rsid w:val="009E5963"/>
    <w:rsid w:val="009F6B56"/>
    <w:rsid w:val="00A22F30"/>
    <w:rsid w:val="00A32921"/>
    <w:rsid w:val="00A35C35"/>
    <w:rsid w:val="00A442DD"/>
    <w:rsid w:val="00A62D5E"/>
    <w:rsid w:val="00A6437F"/>
    <w:rsid w:val="00B22BD6"/>
    <w:rsid w:val="00B52C98"/>
    <w:rsid w:val="00B54405"/>
    <w:rsid w:val="00B6492D"/>
    <w:rsid w:val="00B74007"/>
    <w:rsid w:val="00B95689"/>
    <w:rsid w:val="00BC7BBC"/>
    <w:rsid w:val="00BD31DB"/>
    <w:rsid w:val="00BD4C5B"/>
    <w:rsid w:val="00BE3739"/>
    <w:rsid w:val="00BF6233"/>
    <w:rsid w:val="00C14397"/>
    <w:rsid w:val="00C16C6C"/>
    <w:rsid w:val="00C43199"/>
    <w:rsid w:val="00C62174"/>
    <w:rsid w:val="00CC0C71"/>
    <w:rsid w:val="00CE2439"/>
    <w:rsid w:val="00D04B82"/>
    <w:rsid w:val="00D1379C"/>
    <w:rsid w:val="00D15669"/>
    <w:rsid w:val="00D16E45"/>
    <w:rsid w:val="00D26D6A"/>
    <w:rsid w:val="00D462A2"/>
    <w:rsid w:val="00DB2DD3"/>
    <w:rsid w:val="00DB4CC9"/>
    <w:rsid w:val="00E02C10"/>
    <w:rsid w:val="00E23949"/>
    <w:rsid w:val="00E3790D"/>
    <w:rsid w:val="00E618E3"/>
    <w:rsid w:val="00E765AF"/>
    <w:rsid w:val="00ED52B3"/>
    <w:rsid w:val="00ED5744"/>
    <w:rsid w:val="00EE7A94"/>
    <w:rsid w:val="00EF223B"/>
    <w:rsid w:val="00F015D9"/>
    <w:rsid w:val="00F30991"/>
    <w:rsid w:val="00F503C4"/>
    <w:rsid w:val="00F90AB2"/>
    <w:rsid w:val="00F911F2"/>
    <w:rsid w:val="00FC217B"/>
    <w:rsid w:val="00FE06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156EB"/>
  <w15:docId w15:val="{D390C932-DC27-47F3-91CF-50AC9790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6E7E5C"/>
    <w:pPr>
      <w:spacing w:after="0" w:line="240" w:lineRule="auto"/>
    </w:pPr>
  </w:style>
  <w:style w:type="paragraph" w:styleId="Encabezado">
    <w:name w:val="header"/>
    <w:basedOn w:val="Normal"/>
    <w:link w:val="EncabezadoCar"/>
    <w:uiPriority w:val="99"/>
    <w:unhideWhenUsed/>
    <w:rsid w:val="00904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4069"/>
  </w:style>
  <w:style w:type="paragraph" w:styleId="Piedepgina">
    <w:name w:val="footer"/>
    <w:basedOn w:val="Normal"/>
    <w:link w:val="PiedepginaCar"/>
    <w:uiPriority w:val="99"/>
    <w:unhideWhenUsed/>
    <w:rsid w:val="00904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4069"/>
  </w:style>
  <w:style w:type="character" w:styleId="Hipervnculo">
    <w:name w:val="Hyperlink"/>
    <w:basedOn w:val="Fuentedeprrafopredeter"/>
    <w:uiPriority w:val="99"/>
    <w:unhideWhenUsed/>
    <w:rsid w:val="00BF6233"/>
    <w:rPr>
      <w:color w:val="0000FF" w:themeColor="hyperlink"/>
      <w:u w:val="single"/>
    </w:rPr>
  </w:style>
  <w:style w:type="character" w:styleId="Refdecomentario">
    <w:name w:val="annotation reference"/>
    <w:basedOn w:val="Fuentedeprrafopredeter"/>
    <w:uiPriority w:val="99"/>
    <w:semiHidden/>
    <w:unhideWhenUsed/>
    <w:rsid w:val="00865A80"/>
    <w:rPr>
      <w:sz w:val="16"/>
      <w:szCs w:val="16"/>
    </w:rPr>
  </w:style>
  <w:style w:type="paragraph" w:styleId="Textocomentario">
    <w:name w:val="annotation text"/>
    <w:basedOn w:val="Normal"/>
    <w:link w:val="TextocomentarioCar"/>
    <w:uiPriority w:val="99"/>
    <w:semiHidden/>
    <w:unhideWhenUsed/>
    <w:rsid w:val="00865A80"/>
    <w:pPr>
      <w:spacing w:line="240" w:lineRule="auto"/>
    </w:pPr>
  </w:style>
  <w:style w:type="character" w:customStyle="1" w:styleId="TextocomentarioCar">
    <w:name w:val="Texto comentario Car"/>
    <w:basedOn w:val="Fuentedeprrafopredeter"/>
    <w:link w:val="Textocomentario"/>
    <w:uiPriority w:val="99"/>
    <w:semiHidden/>
    <w:rsid w:val="00865A80"/>
  </w:style>
  <w:style w:type="paragraph" w:styleId="Asuntodelcomentario">
    <w:name w:val="annotation subject"/>
    <w:basedOn w:val="Textocomentario"/>
    <w:next w:val="Textocomentario"/>
    <w:link w:val="AsuntodelcomentarioCar"/>
    <w:uiPriority w:val="99"/>
    <w:semiHidden/>
    <w:unhideWhenUsed/>
    <w:rsid w:val="00865A80"/>
    <w:rPr>
      <w:b/>
      <w:bCs/>
    </w:rPr>
  </w:style>
  <w:style w:type="character" w:customStyle="1" w:styleId="AsuntodelcomentarioCar">
    <w:name w:val="Asunto del comentario Car"/>
    <w:basedOn w:val="TextocomentarioCar"/>
    <w:link w:val="Asuntodelcomentario"/>
    <w:uiPriority w:val="99"/>
    <w:semiHidden/>
    <w:rsid w:val="00865A80"/>
    <w:rPr>
      <w:b/>
      <w:bCs/>
    </w:rPr>
  </w:style>
  <w:style w:type="paragraph" w:styleId="Textodeglobo">
    <w:name w:val="Balloon Text"/>
    <w:basedOn w:val="Normal"/>
    <w:link w:val="TextodegloboCar"/>
    <w:uiPriority w:val="99"/>
    <w:semiHidden/>
    <w:unhideWhenUsed/>
    <w:rsid w:val="00865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A80"/>
    <w:rPr>
      <w:rFonts w:ascii="Segoe UI" w:hAnsi="Segoe UI" w:cs="Segoe UI"/>
      <w:sz w:val="18"/>
      <w:szCs w:val="18"/>
    </w:rPr>
  </w:style>
  <w:style w:type="paragraph" w:styleId="Prrafodelista">
    <w:name w:val="List Paragraph"/>
    <w:basedOn w:val="Normal"/>
    <w:uiPriority w:val="34"/>
    <w:qFormat/>
    <w:rsid w:val="00B6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45">
      <w:bodyDiv w:val="1"/>
      <w:marLeft w:val="0"/>
      <w:marRight w:val="0"/>
      <w:marTop w:val="0"/>
      <w:marBottom w:val="0"/>
      <w:divBdr>
        <w:top w:val="none" w:sz="0" w:space="0" w:color="auto"/>
        <w:left w:val="none" w:sz="0" w:space="0" w:color="auto"/>
        <w:bottom w:val="none" w:sz="0" w:space="0" w:color="auto"/>
        <w:right w:val="none" w:sz="0" w:space="0" w:color="auto"/>
      </w:divBdr>
    </w:div>
    <w:div w:id="140394391">
      <w:bodyDiv w:val="1"/>
      <w:marLeft w:val="0"/>
      <w:marRight w:val="0"/>
      <w:marTop w:val="0"/>
      <w:marBottom w:val="0"/>
      <w:divBdr>
        <w:top w:val="none" w:sz="0" w:space="0" w:color="auto"/>
        <w:left w:val="none" w:sz="0" w:space="0" w:color="auto"/>
        <w:bottom w:val="none" w:sz="0" w:space="0" w:color="auto"/>
        <w:right w:val="none" w:sz="0" w:space="0" w:color="auto"/>
      </w:divBdr>
    </w:div>
    <w:div w:id="167790882">
      <w:bodyDiv w:val="1"/>
      <w:marLeft w:val="0"/>
      <w:marRight w:val="0"/>
      <w:marTop w:val="0"/>
      <w:marBottom w:val="0"/>
      <w:divBdr>
        <w:top w:val="none" w:sz="0" w:space="0" w:color="auto"/>
        <w:left w:val="none" w:sz="0" w:space="0" w:color="auto"/>
        <w:bottom w:val="none" w:sz="0" w:space="0" w:color="auto"/>
        <w:right w:val="none" w:sz="0" w:space="0" w:color="auto"/>
      </w:divBdr>
    </w:div>
    <w:div w:id="207299143">
      <w:bodyDiv w:val="1"/>
      <w:marLeft w:val="0"/>
      <w:marRight w:val="0"/>
      <w:marTop w:val="0"/>
      <w:marBottom w:val="0"/>
      <w:divBdr>
        <w:top w:val="none" w:sz="0" w:space="0" w:color="auto"/>
        <w:left w:val="none" w:sz="0" w:space="0" w:color="auto"/>
        <w:bottom w:val="none" w:sz="0" w:space="0" w:color="auto"/>
        <w:right w:val="none" w:sz="0" w:space="0" w:color="auto"/>
      </w:divBdr>
    </w:div>
    <w:div w:id="239100529">
      <w:bodyDiv w:val="1"/>
      <w:marLeft w:val="0"/>
      <w:marRight w:val="0"/>
      <w:marTop w:val="0"/>
      <w:marBottom w:val="0"/>
      <w:divBdr>
        <w:top w:val="none" w:sz="0" w:space="0" w:color="auto"/>
        <w:left w:val="none" w:sz="0" w:space="0" w:color="auto"/>
        <w:bottom w:val="none" w:sz="0" w:space="0" w:color="auto"/>
        <w:right w:val="none" w:sz="0" w:space="0" w:color="auto"/>
      </w:divBdr>
    </w:div>
    <w:div w:id="371266417">
      <w:bodyDiv w:val="1"/>
      <w:marLeft w:val="0"/>
      <w:marRight w:val="0"/>
      <w:marTop w:val="0"/>
      <w:marBottom w:val="0"/>
      <w:divBdr>
        <w:top w:val="none" w:sz="0" w:space="0" w:color="auto"/>
        <w:left w:val="none" w:sz="0" w:space="0" w:color="auto"/>
        <w:bottom w:val="none" w:sz="0" w:space="0" w:color="auto"/>
        <w:right w:val="none" w:sz="0" w:space="0" w:color="auto"/>
      </w:divBdr>
    </w:div>
    <w:div w:id="462239834">
      <w:bodyDiv w:val="1"/>
      <w:marLeft w:val="0"/>
      <w:marRight w:val="0"/>
      <w:marTop w:val="0"/>
      <w:marBottom w:val="0"/>
      <w:divBdr>
        <w:top w:val="none" w:sz="0" w:space="0" w:color="auto"/>
        <w:left w:val="none" w:sz="0" w:space="0" w:color="auto"/>
        <w:bottom w:val="none" w:sz="0" w:space="0" w:color="auto"/>
        <w:right w:val="none" w:sz="0" w:space="0" w:color="auto"/>
      </w:divBdr>
    </w:div>
    <w:div w:id="506678294">
      <w:bodyDiv w:val="1"/>
      <w:marLeft w:val="0"/>
      <w:marRight w:val="0"/>
      <w:marTop w:val="0"/>
      <w:marBottom w:val="0"/>
      <w:divBdr>
        <w:top w:val="none" w:sz="0" w:space="0" w:color="auto"/>
        <w:left w:val="none" w:sz="0" w:space="0" w:color="auto"/>
        <w:bottom w:val="none" w:sz="0" w:space="0" w:color="auto"/>
        <w:right w:val="none" w:sz="0" w:space="0" w:color="auto"/>
      </w:divBdr>
    </w:div>
    <w:div w:id="515772457">
      <w:bodyDiv w:val="1"/>
      <w:marLeft w:val="0"/>
      <w:marRight w:val="0"/>
      <w:marTop w:val="0"/>
      <w:marBottom w:val="0"/>
      <w:divBdr>
        <w:top w:val="none" w:sz="0" w:space="0" w:color="auto"/>
        <w:left w:val="none" w:sz="0" w:space="0" w:color="auto"/>
        <w:bottom w:val="none" w:sz="0" w:space="0" w:color="auto"/>
        <w:right w:val="none" w:sz="0" w:space="0" w:color="auto"/>
      </w:divBdr>
    </w:div>
    <w:div w:id="518740510">
      <w:bodyDiv w:val="1"/>
      <w:marLeft w:val="0"/>
      <w:marRight w:val="0"/>
      <w:marTop w:val="0"/>
      <w:marBottom w:val="0"/>
      <w:divBdr>
        <w:top w:val="none" w:sz="0" w:space="0" w:color="auto"/>
        <w:left w:val="none" w:sz="0" w:space="0" w:color="auto"/>
        <w:bottom w:val="none" w:sz="0" w:space="0" w:color="auto"/>
        <w:right w:val="none" w:sz="0" w:space="0" w:color="auto"/>
      </w:divBdr>
    </w:div>
    <w:div w:id="524712783">
      <w:bodyDiv w:val="1"/>
      <w:marLeft w:val="0"/>
      <w:marRight w:val="0"/>
      <w:marTop w:val="0"/>
      <w:marBottom w:val="0"/>
      <w:divBdr>
        <w:top w:val="none" w:sz="0" w:space="0" w:color="auto"/>
        <w:left w:val="none" w:sz="0" w:space="0" w:color="auto"/>
        <w:bottom w:val="none" w:sz="0" w:space="0" w:color="auto"/>
        <w:right w:val="none" w:sz="0" w:space="0" w:color="auto"/>
      </w:divBdr>
    </w:div>
    <w:div w:id="540438302">
      <w:bodyDiv w:val="1"/>
      <w:marLeft w:val="0"/>
      <w:marRight w:val="0"/>
      <w:marTop w:val="0"/>
      <w:marBottom w:val="0"/>
      <w:divBdr>
        <w:top w:val="none" w:sz="0" w:space="0" w:color="auto"/>
        <w:left w:val="none" w:sz="0" w:space="0" w:color="auto"/>
        <w:bottom w:val="none" w:sz="0" w:space="0" w:color="auto"/>
        <w:right w:val="none" w:sz="0" w:space="0" w:color="auto"/>
      </w:divBdr>
    </w:div>
    <w:div w:id="554316426">
      <w:bodyDiv w:val="1"/>
      <w:marLeft w:val="0"/>
      <w:marRight w:val="0"/>
      <w:marTop w:val="0"/>
      <w:marBottom w:val="0"/>
      <w:divBdr>
        <w:top w:val="none" w:sz="0" w:space="0" w:color="auto"/>
        <w:left w:val="none" w:sz="0" w:space="0" w:color="auto"/>
        <w:bottom w:val="none" w:sz="0" w:space="0" w:color="auto"/>
        <w:right w:val="none" w:sz="0" w:space="0" w:color="auto"/>
      </w:divBdr>
    </w:div>
    <w:div w:id="619337818">
      <w:bodyDiv w:val="1"/>
      <w:marLeft w:val="0"/>
      <w:marRight w:val="0"/>
      <w:marTop w:val="0"/>
      <w:marBottom w:val="0"/>
      <w:divBdr>
        <w:top w:val="none" w:sz="0" w:space="0" w:color="auto"/>
        <w:left w:val="none" w:sz="0" w:space="0" w:color="auto"/>
        <w:bottom w:val="none" w:sz="0" w:space="0" w:color="auto"/>
        <w:right w:val="none" w:sz="0" w:space="0" w:color="auto"/>
      </w:divBdr>
    </w:div>
    <w:div w:id="694354287">
      <w:bodyDiv w:val="1"/>
      <w:marLeft w:val="0"/>
      <w:marRight w:val="0"/>
      <w:marTop w:val="0"/>
      <w:marBottom w:val="0"/>
      <w:divBdr>
        <w:top w:val="none" w:sz="0" w:space="0" w:color="auto"/>
        <w:left w:val="none" w:sz="0" w:space="0" w:color="auto"/>
        <w:bottom w:val="none" w:sz="0" w:space="0" w:color="auto"/>
        <w:right w:val="none" w:sz="0" w:space="0" w:color="auto"/>
      </w:divBdr>
    </w:div>
    <w:div w:id="741101675">
      <w:bodyDiv w:val="1"/>
      <w:marLeft w:val="0"/>
      <w:marRight w:val="0"/>
      <w:marTop w:val="0"/>
      <w:marBottom w:val="0"/>
      <w:divBdr>
        <w:top w:val="none" w:sz="0" w:space="0" w:color="auto"/>
        <w:left w:val="none" w:sz="0" w:space="0" w:color="auto"/>
        <w:bottom w:val="none" w:sz="0" w:space="0" w:color="auto"/>
        <w:right w:val="none" w:sz="0" w:space="0" w:color="auto"/>
      </w:divBdr>
    </w:div>
    <w:div w:id="826287745">
      <w:bodyDiv w:val="1"/>
      <w:marLeft w:val="0"/>
      <w:marRight w:val="0"/>
      <w:marTop w:val="0"/>
      <w:marBottom w:val="0"/>
      <w:divBdr>
        <w:top w:val="none" w:sz="0" w:space="0" w:color="auto"/>
        <w:left w:val="none" w:sz="0" w:space="0" w:color="auto"/>
        <w:bottom w:val="none" w:sz="0" w:space="0" w:color="auto"/>
        <w:right w:val="none" w:sz="0" w:space="0" w:color="auto"/>
      </w:divBdr>
    </w:div>
    <w:div w:id="832843065">
      <w:bodyDiv w:val="1"/>
      <w:marLeft w:val="0"/>
      <w:marRight w:val="0"/>
      <w:marTop w:val="0"/>
      <w:marBottom w:val="0"/>
      <w:divBdr>
        <w:top w:val="none" w:sz="0" w:space="0" w:color="auto"/>
        <w:left w:val="none" w:sz="0" w:space="0" w:color="auto"/>
        <w:bottom w:val="none" w:sz="0" w:space="0" w:color="auto"/>
        <w:right w:val="none" w:sz="0" w:space="0" w:color="auto"/>
      </w:divBdr>
    </w:div>
    <w:div w:id="835923864">
      <w:bodyDiv w:val="1"/>
      <w:marLeft w:val="0"/>
      <w:marRight w:val="0"/>
      <w:marTop w:val="0"/>
      <w:marBottom w:val="0"/>
      <w:divBdr>
        <w:top w:val="none" w:sz="0" w:space="0" w:color="auto"/>
        <w:left w:val="none" w:sz="0" w:space="0" w:color="auto"/>
        <w:bottom w:val="none" w:sz="0" w:space="0" w:color="auto"/>
        <w:right w:val="none" w:sz="0" w:space="0" w:color="auto"/>
      </w:divBdr>
    </w:div>
    <w:div w:id="910309054">
      <w:bodyDiv w:val="1"/>
      <w:marLeft w:val="0"/>
      <w:marRight w:val="0"/>
      <w:marTop w:val="0"/>
      <w:marBottom w:val="0"/>
      <w:divBdr>
        <w:top w:val="none" w:sz="0" w:space="0" w:color="auto"/>
        <w:left w:val="none" w:sz="0" w:space="0" w:color="auto"/>
        <w:bottom w:val="none" w:sz="0" w:space="0" w:color="auto"/>
        <w:right w:val="none" w:sz="0" w:space="0" w:color="auto"/>
      </w:divBdr>
    </w:div>
    <w:div w:id="1171213444">
      <w:bodyDiv w:val="1"/>
      <w:marLeft w:val="0"/>
      <w:marRight w:val="0"/>
      <w:marTop w:val="0"/>
      <w:marBottom w:val="0"/>
      <w:divBdr>
        <w:top w:val="none" w:sz="0" w:space="0" w:color="auto"/>
        <w:left w:val="none" w:sz="0" w:space="0" w:color="auto"/>
        <w:bottom w:val="none" w:sz="0" w:space="0" w:color="auto"/>
        <w:right w:val="none" w:sz="0" w:space="0" w:color="auto"/>
      </w:divBdr>
    </w:div>
    <w:div w:id="1203130699">
      <w:bodyDiv w:val="1"/>
      <w:marLeft w:val="0"/>
      <w:marRight w:val="0"/>
      <w:marTop w:val="0"/>
      <w:marBottom w:val="0"/>
      <w:divBdr>
        <w:top w:val="none" w:sz="0" w:space="0" w:color="auto"/>
        <w:left w:val="none" w:sz="0" w:space="0" w:color="auto"/>
        <w:bottom w:val="none" w:sz="0" w:space="0" w:color="auto"/>
        <w:right w:val="none" w:sz="0" w:space="0" w:color="auto"/>
      </w:divBdr>
    </w:div>
    <w:div w:id="1224370820">
      <w:bodyDiv w:val="1"/>
      <w:marLeft w:val="0"/>
      <w:marRight w:val="0"/>
      <w:marTop w:val="0"/>
      <w:marBottom w:val="0"/>
      <w:divBdr>
        <w:top w:val="none" w:sz="0" w:space="0" w:color="auto"/>
        <w:left w:val="none" w:sz="0" w:space="0" w:color="auto"/>
        <w:bottom w:val="none" w:sz="0" w:space="0" w:color="auto"/>
        <w:right w:val="none" w:sz="0" w:space="0" w:color="auto"/>
      </w:divBdr>
    </w:div>
    <w:div w:id="1255280505">
      <w:bodyDiv w:val="1"/>
      <w:marLeft w:val="0"/>
      <w:marRight w:val="0"/>
      <w:marTop w:val="0"/>
      <w:marBottom w:val="0"/>
      <w:divBdr>
        <w:top w:val="none" w:sz="0" w:space="0" w:color="auto"/>
        <w:left w:val="none" w:sz="0" w:space="0" w:color="auto"/>
        <w:bottom w:val="none" w:sz="0" w:space="0" w:color="auto"/>
        <w:right w:val="none" w:sz="0" w:space="0" w:color="auto"/>
      </w:divBdr>
    </w:div>
    <w:div w:id="1310669181">
      <w:bodyDiv w:val="1"/>
      <w:marLeft w:val="0"/>
      <w:marRight w:val="0"/>
      <w:marTop w:val="0"/>
      <w:marBottom w:val="0"/>
      <w:divBdr>
        <w:top w:val="none" w:sz="0" w:space="0" w:color="auto"/>
        <w:left w:val="none" w:sz="0" w:space="0" w:color="auto"/>
        <w:bottom w:val="none" w:sz="0" w:space="0" w:color="auto"/>
        <w:right w:val="none" w:sz="0" w:space="0" w:color="auto"/>
      </w:divBdr>
    </w:div>
    <w:div w:id="1426226857">
      <w:bodyDiv w:val="1"/>
      <w:marLeft w:val="0"/>
      <w:marRight w:val="0"/>
      <w:marTop w:val="0"/>
      <w:marBottom w:val="0"/>
      <w:divBdr>
        <w:top w:val="none" w:sz="0" w:space="0" w:color="auto"/>
        <w:left w:val="none" w:sz="0" w:space="0" w:color="auto"/>
        <w:bottom w:val="none" w:sz="0" w:space="0" w:color="auto"/>
        <w:right w:val="none" w:sz="0" w:space="0" w:color="auto"/>
      </w:divBdr>
    </w:div>
    <w:div w:id="1452868387">
      <w:bodyDiv w:val="1"/>
      <w:marLeft w:val="0"/>
      <w:marRight w:val="0"/>
      <w:marTop w:val="0"/>
      <w:marBottom w:val="0"/>
      <w:divBdr>
        <w:top w:val="none" w:sz="0" w:space="0" w:color="auto"/>
        <w:left w:val="none" w:sz="0" w:space="0" w:color="auto"/>
        <w:bottom w:val="none" w:sz="0" w:space="0" w:color="auto"/>
        <w:right w:val="none" w:sz="0" w:space="0" w:color="auto"/>
      </w:divBdr>
    </w:div>
    <w:div w:id="1573588755">
      <w:bodyDiv w:val="1"/>
      <w:marLeft w:val="0"/>
      <w:marRight w:val="0"/>
      <w:marTop w:val="0"/>
      <w:marBottom w:val="0"/>
      <w:divBdr>
        <w:top w:val="none" w:sz="0" w:space="0" w:color="auto"/>
        <w:left w:val="none" w:sz="0" w:space="0" w:color="auto"/>
        <w:bottom w:val="none" w:sz="0" w:space="0" w:color="auto"/>
        <w:right w:val="none" w:sz="0" w:space="0" w:color="auto"/>
      </w:divBdr>
    </w:div>
    <w:div w:id="1712262055">
      <w:bodyDiv w:val="1"/>
      <w:marLeft w:val="0"/>
      <w:marRight w:val="0"/>
      <w:marTop w:val="0"/>
      <w:marBottom w:val="0"/>
      <w:divBdr>
        <w:top w:val="none" w:sz="0" w:space="0" w:color="auto"/>
        <w:left w:val="none" w:sz="0" w:space="0" w:color="auto"/>
        <w:bottom w:val="none" w:sz="0" w:space="0" w:color="auto"/>
        <w:right w:val="none" w:sz="0" w:space="0" w:color="auto"/>
      </w:divBdr>
    </w:div>
    <w:div w:id="1796220360">
      <w:bodyDiv w:val="1"/>
      <w:marLeft w:val="0"/>
      <w:marRight w:val="0"/>
      <w:marTop w:val="0"/>
      <w:marBottom w:val="0"/>
      <w:divBdr>
        <w:top w:val="none" w:sz="0" w:space="0" w:color="auto"/>
        <w:left w:val="none" w:sz="0" w:space="0" w:color="auto"/>
        <w:bottom w:val="none" w:sz="0" w:space="0" w:color="auto"/>
        <w:right w:val="none" w:sz="0" w:space="0" w:color="auto"/>
      </w:divBdr>
    </w:div>
    <w:div w:id="1851486962">
      <w:bodyDiv w:val="1"/>
      <w:marLeft w:val="0"/>
      <w:marRight w:val="0"/>
      <w:marTop w:val="0"/>
      <w:marBottom w:val="0"/>
      <w:divBdr>
        <w:top w:val="none" w:sz="0" w:space="0" w:color="auto"/>
        <w:left w:val="none" w:sz="0" w:space="0" w:color="auto"/>
        <w:bottom w:val="none" w:sz="0" w:space="0" w:color="auto"/>
        <w:right w:val="none" w:sz="0" w:space="0" w:color="auto"/>
      </w:divBdr>
    </w:div>
    <w:div w:id="1864590511">
      <w:bodyDiv w:val="1"/>
      <w:marLeft w:val="0"/>
      <w:marRight w:val="0"/>
      <w:marTop w:val="0"/>
      <w:marBottom w:val="0"/>
      <w:divBdr>
        <w:top w:val="none" w:sz="0" w:space="0" w:color="auto"/>
        <w:left w:val="none" w:sz="0" w:space="0" w:color="auto"/>
        <w:bottom w:val="none" w:sz="0" w:space="0" w:color="auto"/>
        <w:right w:val="none" w:sz="0" w:space="0" w:color="auto"/>
      </w:divBdr>
    </w:div>
    <w:div w:id="1906528971">
      <w:bodyDiv w:val="1"/>
      <w:marLeft w:val="0"/>
      <w:marRight w:val="0"/>
      <w:marTop w:val="0"/>
      <w:marBottom w:val="0"/>
      <w:divBdr>
        <w:top w:val="none" w:sz="0" w:space="0" w:color="auto"/>
        <w:left w:val="none" w:sz="0" w:space="0" w:color="auto"/>
        <w:bottom w:val="none" w:sz="0" w:space="0" w:color="auto"/>
        <w:right w:val="none" w:sz="0" w:space="0" w:color="auto"/>
      </w:divBdr>
    </w:div>
    <w:div w:id="1923369768">
      <w:bodyDiv w:val="1"/>
      <w:marLeft w:val="0"/>
      <w:marRight w:val="0"/>
      <w:marTop w:val="0"/>
      <w:marBottom w:val="0"/>
      <w:divBdr>
        <w:top w:val="none" w:sz="0" w:space="0" w:color="auto"/>
        <w:left w:val="none" w:sz="0" w:space="0" w:color="auto"/>
        <w:bottom w:val="none" w:sz="0" w:space="0" w:color="auto"/>
        <w:right w:val="none" w:sz="0" w:space="0" w:color="auto"/>
      </w:divBdr>
    </w:div>
    <w:div w:id="1932470584">
      <w:bodyDiv w:val="1"/>
      <w:marLeft w:val="0"/>
      <w:marRight w:val="0"/>
      <w:marTop w:val="0"/>
      <w:marBottom w:val="0"/>
      <w:divBdr>
        <w:top w:val="none" w:sz="0" w:space="0" w:color="auto"/>
        <w:left w:val="none" w:sz="0" w:space="0" w:color="auto"/>
        <w:bottom w:val="none" w:sz="0" w:space="0" w:color="auto"/>
        <w:right w:val="none" w:sz="0" w:space="0" w:color="auto"/>
      </w:divBdr>
    </w:div>
    <w:div w:id="1948929541">
      <w:bodyDiv w:val="1"/>
      <w:marLeft w:val="0"/>
      <w:marRight w:val="0"/>
      <w:marTop w:val="0"/>
      <w:marBottom w:val="0"/>
      <w:divBdr>
        <w:top w:val="none" w:sz="0" w:space="0" w:color="auto"/>
        <w:left w:val="none" w:sz="0" w:space="0" w:color="auto"/>
        <w:bottom w:val="none" w:sz="0" w:space="0" w:color="auto"/>
        <w:right w:val="none" w:sz="0" w:space="0" w:color="auto"/>
      </w:divBdr>
    </w:div>
    <w:div w:id="2028168319">
      <w:bodyDiv w:val="1"/>
      <w:marLeft w:val="0"/>
      <w:marRight w:val="0"/>
      <w:marTop w:val="0"/>
      <w:marBottom w:val="0"/>
      <w:divBdr>
        <w:top w:val="none" w:sz="0" w:space="0" w:color="auto"/>
        <w:left w:val="none" w:sz="0" w:space="0" w:color="auto"/>
        <w:bottom w:val="none" w:sz="0" w:space="0" w:color="auto"/>
        <w:right w:val="none" w:sz="0" w:space="0" w:color="auto"/>
      </w:divBdr>
    </w:div>
    <w:div w:id="2053187180">
      <w:bodyDiv w:val="1"/>
      <w:marLeft w:val="0"/>
      <w:marRight w:val="0"/>
      <w:marTop w:val="0"/>
      <w:marBottom w:val="0"/>
      <w:divBdr>
        <w:top w:val="none" w:sz="0" w:space="0" w:color="auto"/>
        <w:left w:val="none" w:sz="0" w:space="0" w:color="auto"/>
        <w:bottom w:val="none" w:sz="0" w:space="0" w:color="auto"/>
        <w:right w:val="none" w:sz="0" w:space="0" w:color="auto"/>
      </w:divBdr>
    </w:div>
    <w:div w:id="209218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1355</Words>
  <Characters>7498</Characters>
  <Application>Microsoft Office Word</Application>
  <DocSecurity>0</DocSecurity>
  <Lines>119</Lines>
  <Paragraphs>26</Paragraphs>
  <ScaleCrop>false</ScaleCrop>
  <HeadingPairs>
    <vt:vector size="2" baseType="variant">
      <vt:variant>
        <vt:lpstr>Título</vt:lpstr>
      </vt:variant>
      <vt:variant>
        <vt:i4>1</vt:i4>
      </vt:variant>
    </vt:vector>
  </HeadingPairs>
  <TitlesOfParts>
    <vt:vector size="1" baseType="lpstr">
      <vt:lpstr/>
    </vt:vector>
  </TitlesOfParts>
  <Company>UFRO</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Microsoft Office User</cp:lastModifiedBy>
  <cp:revision>6</cp:revision>
  <dcterms:created xsi:type="dcterms:W3CDTF">2020-08-04T13:13:00Z</dcterms:created>
  <dcterms:modified xsi:type="dcterms:W3CDTF">2020-08-06T19:27:00Z</dcterms:modified>
</cp:coreProperties>
</file>